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755D" w14:textId="24A24C65" w:rsidR="00C35FFA" w:rsidRDefault="00DC311A" w:rsidP="00A30C00">
      <w:pPr>
        <w:pStyle w:val="Title"/>
      </w:pPr>
      <w:r>
        <w:t xml:space="preserve">Business case </w:t>
      </w:r>
      <w:r w:rsidR="003B47F0">
        <w:t>u</w:t>
      </w:r>
      <w:r w:rsidR="00A30C00">
        <w:t>ncertainty register</w:t>
      </w:r>
    </w:p>
    <w:p w14:paraId="1B5AC6C0" w14:textId="535DA902" w:rsidR="00B15F74" w:rsidRDefault="00B15F74" w:rsidP="007D5786">
      <w:r>
        <w:t>Risks and uncertainties are key themes throughout development of a business case.</w:t>
      </w:r>
      <w:r w:rsidR="00F4221E">
        <w:t xml:space="preserve"> Risks can be managed by following the guidance in </w:t>
      </w:r>
      <w:r w:rsidR="00C07C47">
        <w:t>m</w:t>
      </w:r>
      <w:r w:rsidR="00F4221E">
        <w:t xml:space="preserve">inimum standard </w:t>
      </w:r>
      <w:hyperlink r:id="rId8" w:history="1">
        <w:r w:rsidR="00F4221E" w:rsidRPr="00C07C47">
          <w:rPr>
            <w:rStyle w:val="Hyperlink"/>
          </w:rPr>
          <w:t xml:space="preserve">Z/44 </w:t>
        </w:r>
        <w:r w:rsidR="00C07C47" w:rsidRPr="00C07C47">
          <w:rPr>
            <w:rStyle w:val="Hyperlink"/>
          </w:rPr>
          <w:t>R</w:t>
        </w:r>
        <w:r w:rsidR="00F4221E" w:rsidRPr="00C07C47">
          <w:rPr>
            <w:rStyle w:val="Hyperlink"/>
          </w:rPr>
          <w:t>isk management</w:t>
        </w:r>
        <w:r w:rsidR="00C07C47" w:rsidRPr="00C07C47">
          <w:rPr>
            <w:rStyle w:val="Hyperlink"/>
          </w:rPr>
          <w:t xml:space="preserve"> practice guide</w:t>
        </w:r>
      </w:hyperlink>
      <w:r w:rsidR="00F4221E">
        <w:t xml:space="preserve"> or</w:t>
      </w:r>
      <w:r w:rsidR="008C2C13">
        <w:t>,</w:t>
      </w:r>
      <w:r w:rsidR="00F4221E">
        <w:t xml:space="preserve"> for approved </w:t>
      </w:r>
      <w:r w:rsidR="00C07C47">
        <w:t>o</w:t>
      </w:r>
      <w:r w:rsidR="00F4221E">
        <w:t>rganisations, a local equivalent (where available). This template can be used to collate and track information</w:t>
      </w:r>
      <w:r w:rsidR="00337E67">
        <w:t xml:space="preserve"> </w:t>
      </w:r>
      <w:r w:rsidR="00F4221E">
        <w:t xml:space="preserve">relating to uncertainties (as distinct from risks). </w:t>
      </w:r>
    </w:p>
    <w:p w14:paraId="2A4E7F04" w14:textId="77777777" w:rsidR="00F4221E" w:rsidRPr="005A7B7F" w:rsidRDefault="00F4221E" w:rsidP="00F4221E">
      <w:pPr>
        <w:spacing w:line="240" w:lineRule="atLeast"/>
      </w:pPr>
      <w:r w:rsidRPr="005A7B7F">
        <w:t xml:space="preserve">In the context of the </w:t>
      </w:r>
      <w:r>
        <w:t>Business Case Approach (</w:t>
      </w:r>
      <w:r w:rsidRPr="005A7B7F">
        <w:t>BCA</w:t>
      </w:r>
      <w:r>
        <w:t>)</w:t>
      </w:r>
      <w:r w:rsidRPr="005A7B7F">
        <w:t xml:space="preserve">: </w:t>
      </w:r>
    </w:p>
    <w:p w14:paraId="206B73AD" w14:textId="77777777" w:rsidR="00F4221E" w:rsidRPr="005A7B7F" w:rsidRDefault="00F4221E" w:rsidP="00F4221E">
      <w:pPr>
        <w:pStyle w:val="ListParagraph"/>
        <w:numPr>
          <w:ilvl w:val="0"/>
          <w:numId w:val="41"/>
        </w:numPr>
        <w:spacing w:line="240" w:lineRule="atLeast"/>
      </w:pPr>
      <w:r w:rsidRPr="005A7B7F">
        <w:rPr>
          <w:rFonts w:eastAsia="Arial" w:cs="Arial"/>
          <w:b/>
          <w:bCs/>
        </w:rPr>
        <w:t>Risk</w:t>
      </w:r>
      <w:r w:rsidRPr="005A7B7F">
        <w:rPr>
          <w:rFonts w:eastAsia="Arial" w:cs="Arial"/>
        </w:rPr>
        <w:t xml:space="preserve"> refers to the probability of an event having an impact on project delivery (in terms of cost, time or </w:t>
      </w:r>
      <w:r>
        <w:rPr>
          <w:rFonts w:eastAsia="Arial" w:cs="Arial"/>
        </w:rPr>
        <w:t>scope</w:t>
      </w:r>
      <w:r w:rsidRPr="005A7B7F">
        <w:rPr>
          <w:rFonts w:eastAsia="Arial" w:cs="Arial"/>
        </w:rPr>
        <w:t xml:space="preserve">), or on the outcomes of the investment. Note that risks can be positive, as well as negative. </w:t>
      </w:r>
    </w:p>
    <w:p w14:paraId="554188AA" w14:textId="77777777" w:rsidR="00F4221E" w:rsidRPr="005A7B7F" w:rsidRDefault="00F4221E" w:rsidP="00F4221E">
      <w:pPr>
        <w:pStyle w:val="ListParagraph"/>
        <w:numPr>
          <w:ilvl w:val="0"/>
          <w:numId w:val="41"/>
        </w:numPr>
        <w:spacing w:line="240" w:lineRule="atLeast"/>
      </w:pPr>
      <w:r w:rsidRPr="005A7B7F">
        <w:rPr>
          <w:rFonts w:eastAsia="Arial" w:cs="Arial"/>
          <w:b/>
          <w:bCs/>
        </w:rPr>
        <w:t>Uncertainty</w:t>
      </w:r>
      <w:r w:rsidRPr="005A7B7F">
        <w:rPr>
          <w:rFonts w:eastAsia="Arial" w:cs="Arial"/>
        </w:rPr>
        <w:t xml:space="preserve"> refers to a specific type of risk that usually affects the case for change and is typically driven by external factors that lie outside the project team’s control. If realised, uncertainties can affect whether:</w:t>
      </w:r>
    </w:p>
    <w:p w14:paraId="4E24D346" w14:textId="77777777" w:rsidR="00F4221E" w:rsidRPr="005A7B7F" w:rsidRDefault="00F4221E" w:rsidP="00F4221E">
      <w:pPr>
        <w:pStyle w:val="ListParagraph"/>
        <w:numPr>
          <w:ilvl w:val="1"/>
          <w:numId w:val="41"/>
        </w:numPr>
        <w:spacing w:line="240" w:lineRule="atLeast"/>
      </w:pPr>
      <w:r w:rsidRPr="005A7B7F">
        <w:rPr>
          <w:rFonts w:eastAsia="Arial" w:cs="Arial"/>
        </w:rPr>
        <w:t xml:space="preserve">the proposed option still represents best value for money </w:t>
      </w:r>
    </w:p>
    <w:p w14:paraId="75CA0562" w14:textId="77777777" w:rsidR="00F4221E" w:rsidRPr="00B15F74" w:rsidRDefault="00F4221E" w:rsidP="00F4221E">
      <w:pPr>
        <w:pStyle w:val="ListParagraph"/>
        <w:numPr>
          <w:ilvl w:val="1"/>
          <w:numId w:val="41"/>
        </w:numPr>
        <w:spacing w:line="240" w:lineRule="atLeast"/>
      </w:pPr>
      <w:r w:rsidRPr="00B15F74">
        <w:rPr>
          <w:rFonts w:eastAsia="Arial" w:cs="Arial"/>
        </w:rPr>
        <w:t>the proposed timing for implementation is still appropriate, or</w:t>
      </w:r>
    </w:p>
    <w:p w14:paraId="623D8273" w14:textId="77777777" w:rsidR="00F4221E" w:rsidRPr="008F7A30" w:rsidRDefault="00F4221E" w:rsidP="00F4221E">
      <w:pPr>
        <w:pStyle w:val="ListParagraph"/>
        <w:numPr>
          <w:ilvl w:val="1"/>
          <w:numId w:val="41"/>
        </w:numPr>
        <w:spacing w:line="240" w:lineRule="atLeast"/>
      </w:pPr>
      <w:r w:rsidRPr="00B15F74">
        <w:rPr>
          <w:rFonts w:eastAsia="Arial" w:cs="Arial"/>
        </w:rPr>
        <w:t>whether the investment is still needed.</w:t>
      </w:r>
    </w:p>
    <w:p w14:paraId="23A8A4B5" w14:textId="053A2E52" w:rsidR="00B15F74" w:rsidRDefault="00B15F74" w:rsidP="007D5786">
      <w:r>
        <w:t>Each business case must be able to demonstrate to decision makers that risk and uncertaint</w:t>
      </w:r>
      <w:r w:rsidR="00954799">
        <w:t>y</w:t>
      </w:r>
      <w:r>
        <w:t xml:space="preserve"> can be managed to an acceptable level, appropriate to the phase of development. To achieve this, risks and uncertainties must be clearly identified, and any management steps must be identified, so they can be clearly communicated to decision-makers, </w:t>
      </w:r>
      <w:r w:rsidR="00954799">
        <w:t xml:space="preserve">stakeholders </w:t>
      </w:r>
      <w:r>
        <w:t xml:space="preserve">and </w:t>
      </w:r>
      <w:r w:rsidR="00954799">
        <w:t xml:space="preserve">project teams </w:t>
      </w:r>
      <w:r>
        <w:t>alike.</w:t>
      </w:r>
    </w:p>
    <w:p w14:paraId="1A615A60" w14:textId="4381B0E5" w:rsidR="00B15F74" w:rsidRDefault="00B15F74" w:rsidP="007D5786">
      <w:r>
        <w:t>The process of identifying and managing risks and uncertainties begins right at the start of a business case, in the point of entry (PoE) phase. It continues throughout the development of the business case, as new risks or uncertainties are identified, added to the register, and decisions made about how they should be managed. This template is designed to support this continuous development approach.</w:t>
      </w:r>
    </w:p>
    <w:p w14:paraId="616C237F" w14:textId="60BF28CE" w:rsidR="00C07C47" w:rsidRDefault="00C07C47" w:rsidP="007D5786">
      <w:r>
        <w:t xml:space="preserve">Further information on </w:t>
      </w:r>
      <w:hyperlink r:id="rId9" w:anchor="RiskAndUncertainty" w:history="1">
        <w:r w:rsidRPr="00C07C47">
          <w:rPr>
            <w:rStyle w:val="Hyperlink"/>
          </w:rPr>
          <w:t>risk and uncertainty in the BCA</w:t>
        </w:r>
      </w:hyperlink>
      <w:r>
        <w:t xml:space="preserve"> is available on our website.</w:t>
      </w:r>
    </w:p>
    <w:p w14:paraId="6050AB95" w14:textId="77777777" w:rsidR="008F7A30" w:rsidRPr="008F7A30" w:rsidRDefault="008F7A30" w:rsidP="008F7A30">
      <w:pPr>
        <w:spacing w:line="240" w:lineRule="atLeast"/>
        <w:rPr>
          <w:b/>
          <w:bCs/>
        </w:rPr>
      </w:pPr>
      <w:r w:rsidRPr="008F7A30">
        <w:rPr>
          <w:b/>
          <w:bCs/>
        </w:rPr>
        <w:t>How to use this template</w:t>
      </w:r>
    </w:p>
    <w:p w14:paraId="00FA2C91" w14:textId="4BCC7489" w:rsidR="008F7A30" w:rsidRDefault="008F7A30" w:rsidP="008F7A30">
      <w:pPr>
        <w:spacing w:line="240" w:lineRule="atLeast"/>
      </w:pPr>
      <w:r>
        <w:t xml:space="preserve">This template is designed to provide a structured approach to recording and managing uncertainties. </w:t>
      </w:r>
      <w:r w:rsidR="00F4221E">
        <w:t xml:space="preserve">Its use is advised – it is not mandatory. </w:t>
      </w:r>
    </w:p>
    <w:p w14:paraId="58CE0C72" w14:textId="205F957D" w:rsidR="008F7A30" w:rsidRDefault="00C07C47" w:rsidP="008F7A30">
      <w:pPr>
        <w:pStyle w:val="ListParagraph"/>
        <w:numPr>
          <w:ilvl w:val="0"/>
          <w:numId w:val="42"/>
        </w:numPr>
        <w:spacing w:line="240" w:lineRule="atLeast"/>
      </w:pPr>
      <w:r>
        <w:t>T</w:t>
      </w:r>
      <w:r w:rsidR="008F7A30">
        <w:t>he</w:t>
      </w:r>
      <w:r w:rsidR="00F4221E">
        <w:t xml:space="preserve"> underlying</w:t>
      </w:r>
      <w:r w:rsidR="008F7A30">
        <w:t xml:space="preserve"> principle is – identify, record and track uncertainties</w:t>
      </w:r>
      <w:r w:rsidR="00F4221E">
        <w:t xml:space="preserve"> that affect your business case</w:t>
      </w:r>
      <w:r w:rsidR="008F7A30">
        <w:t xml:space="preserve">, </w:t>
      </w:r>
      <w:r w:rsidR="00F4221E">
        <w:t>and show</w:t>
      </w:r>
      <w:r w:rsidR="008F7A30">
        <w:t xml:space="preserve"> how they will be managed</w:t>
      </w:r>
      <w:r>
        <w:t>.</w:t>
      </w:r>
      <w:r w:rsidR="00F4221E">
        <w:t xml:space="preserve"> </w:t>
      </w:r>
      <w:r w:rsidR="008F7A30">
        <w:t xml:space="preserve"> </w:t>
      </w:r>
    </w:p>
    <w:p w14:paraId="45FD87ED" w14:textId="3E85E826" w:rsidR="00F4221E" w:rsidRDefault="00C07C47" w:rsidP="008F7A30">
      <w:pPr>
        <w:pStyle w:val="ListParagraph"/>
        <w:numPr>
          <w:ilvl w:val="0"/>
          <w:numId w:val="42"/>
        </w:numPr>
        <w:spacing w:line="240" w:lineRule="atLeast"/>
      </w:pPr>
      <w:r>
        <w:t>Y</w:t>
      </w:r>
      <w:r w:rsidR="008F7A30">
        <w:t>ou do not have to use this template</w:t>
      </w:r>
      <w:r w:rsidR="00526102">
        <w:t>:</w:t>
      </w:r>
      <w:r w:rsidR="008F7A30">
        <w:t xml:space="preserve"> you can use whatever format </w:t>
      </w:r>
      <w:r w:rsidR="00F4221E">
        <w:t>is most appropriate to your business case</w:t>
      </w:r>
      <w:r w:rsidR="008F7A30">
        <w:t xml:space="preserve"> – but you should aim to capture </w:t>
      </w:r>
      <w:r w:rsidR="00D542B1">
        <w:t>similar</w:t>
      </w:r>
      <w:r w:rsidR="008F7A30">
        <w:t xml:space="preserve"> information</w:t>
      </w:r>
      <w:r w:rsidR="00D542B1">
        <w:t xml:space="preserve"> to that</w:t>
      </w:r>
      <w:r w:rsidR="008F7A30">
        <w:t xml:space="preserve"> </w:t>
      </w:r>
      <w:r w:rsidR="00F4221E">
        <w:t xml:space="preserve">in the table below. </w:t>
      </w:r>
    </w:p>
    <w:p w14:paraId="6E167946" w14:textId="30E3ABFF" w:rsidR="00A30C00" w:rsidRDefault="00C07C47" w:rsidP="008F7A30">
      <w:pPr>
        <w:pStyle w:val="ListParagraph"/>
        <w:numPr>
          <w:ilvl w:val="0"/>
          <w:numId w:val="42"/>
        </w:numPr>
        <w:spacing w:line="240" w:lineRule="atLeast"/>
      </w:pPr>
      <w:r>
        <w:t>I</w:t>
      </w:r>
      <w:r w:rsidR="00F4221E">
        <w:t xml:space="preserve">f you need to </w:t>
      </w:r>
      <w:r w:rsidR="00526102">
        <w:t xml:space="preserve">tailor the register to better fit the context of your business case, for example by </w:t>
      </w:r>
      <w:r w:rsidR="00F4221E">
        <w:t>add</w:t>
      </w:r>
      <w:r w:rsidR="00526102">
        <w:t>ing</w:t>
      </w:r>
      <w:r w:rsidR="00F4221E">
        <w:t xml:space="preserve"> or remov</w:t>
      </w:r>
      <w:r w:rsidR="00526102">
        <w:t>ing</w:t>
      </w:r>
      <w:r w:rsidR="00F4221E">
        <w:t xml:space="preserve"> columns or rows, please do so. </w:t>
      </w:r>
      <w:r w:rsidR="00A30C00">
        <w:br w:type="page"/>
      </w:r>
    </w:p>
    <w:tbl>
      <w:tblPr>
        <w:tblStyle w:val="TableGrid"/>
        <w:tblW w:w="0" w:type="auto"/>
        <w:tblLook w:val="04A0" w:firstRow="1" w:lastRow="0" w:firstColumn="1" w:lastColumn="0" w:noHBand="0" w:noVBand="1"/>
      </w:tblPr>
      <w:tblGrid>
        <w:gridCol w:w="2972"/>
        <w:gridCol w:w="4820"/>
      </w:tblGrid>
      <w:tr w:rsidR="008718A1" w14:paraId="7F23CDB5" w14:textId="77777777" w:rsidTr="008718A1">
        <w:tc>
          <w:tcPr>
            <w:tcW w:w="2972" w:type="dxa"/>
          </w:tcPr>
          <w:p w14:paraId="118913D9" w14:textId="031201A0" w:rsidR="008718A1" w:rsidRDefault="008718A1" w:rsidP="00E34EB8">
            <w:r>
              <w:lastRenderedPageBreak/>
              <w:t>Business case name</w:t>
            </w:r>
          </w:p>
        </w:tc>
        <w:tc>
          <w:tcPr>
            <w:tcW w:w="4820" w:type="dxa"/>
          </w:tcPr>
          <w:p w14:paraId="52CB1E68" w14:textId="77777777" w:rsidR="008718A1" w:rsidRDefault="008718A1" w:rsidP="00E34EB8"/>
        </w:tc>
      </w:tr>
      <w:tr w:rsidR="008718A1" w14:paraId="349CA7BD" w14:textId="77777777" w:rsidTr="008718A1">
        <w:tc>
          <w:tcPr>
            <w:tcW w:w="2972" w:type="dxa"/>
          </w:tcPr>
          <w:p w14:paraId="1B978EC5" w14:textId="41B4D2E8" w:rsidR="008718A1" w:rsidRDefault="008718A1" w:rsidP="00E34EB8">
            <w:r>
              <w:t xml:space="preserve">Current phase </w:t>
            </w:r>
          </w:p>
        </w:tc>
        <w:tc>
          <w:tcPr>
            <w:tcW w:w="4820" w:type="dxa"/>
          </w:tcPr>
          <w:p w14:paraId="204CD257" w14:textId="77777777" w:rsidR="008718A1" w:rsidRDefault="008718A1" w:rsidP="00E34EB8"/>
        </w:tc>
      </w:tr>
      <w:tr w:rsidR="008718A1" w14:paraId="6961953A" w14:textId="77777777" w:rsidTr="008718A1">
        <w:tc>
          <w:tcPr>
            <w:tcW w:w="2972" w:type="dxa"/>
          </w:tcPr>
          <w:p w14:paraId="78DBC7E9" w14:textId="1F2FCD68" w:rsidR="008718A1" w:rsidRDefault="008718A1" w:rsidP="00E34EB8">
            <w:r>
              <w:t>Date last updated</w:t>
            </w:r>
          </w:p>
        </w:tc>
        <w:tc>
          <w:tcPr>
            <w:tcW w:w="4820" w:type="dxa"/>
          </w:tcPr>
          <w:p w14:paraId="22913613" w14:textId="77777777" w:rsidR="008718A1" w:rsidRDefault="008718A1" w:rsidP="00E34EB8"/>
        </w:tc>
      </w:tr>
    </w:tbl>
    <w:p w14:paraId="3CA97962" w14:textId="30CFC6D6" w:rsidR="00A30C00" w:rsidRDefault="00A30C00" w:rsidP="00E34EB8"/>
    <w:p w14:paraId="2E0BD2C4" w14:textId="77777777" w:rsidR="00F63A7A" w:rsidRDefault="00F63A7A" w:rsidP="00E34EB8"/>
    <w:tbl>
      <w:tblPr>
        <w:tblStyle w:val="NZTA"/>
        <w:tblpPr w:leftFromText="180" w:rightFromText="180" w:topFromText="60" w:bottomFromText="60" w:vertAnchor="text" w:tblpX="-176" w:tblpY="1"/>
        <w:tblOverlap w:val="never"/>
        <w:tblW w:w="211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129"/>
        <w:gridCol w:w="1276"/>
        <w:gridCol w:w="1701"/>
        <w:gridCol w:w="2693"/>
        <w:gridCol w:w="1418"/>
        <w:gridCol w:w="1134"/>
        <w:gridCol w:w="1134"/>
        <w:gridCol w:w="1559"/>
        <w:gridCol w:w="1701"/>
        <w:gridCol w:w="2410"/>
        <w:gridCol w:w="1417"/>
        <w:gridCol w:w="3535"/>
      </w:tblGrid>
      <w:tr w:rsidR="003B47F0" w:rsidRPr="00A85AFC" w14:paraId="23C10D9A" w14:textId="5C597F75" w:rsidTr="00B3790C">
        <w:trPr>
          <w:cnfStyle w:val="100000000000" w:firstRow="1" w:lastRow="0" w:firstColumn="0" w:lastColumn="0" w:oddVBand="0" w:evenVBand="0" w:oddHBand="0" w:evenHBand="0" w:firstRowFirstColumn="0" w:firstRowLastColumn="0" w:lastRowFirstColumn="0" w:lastRowLastColumn="0"/>
        </w:trPr>
        <w:tc>
          <w:tcPr>
            <w:tcW w:w="21107"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7B8484" w14:textId="30F0F292" w:rsidR="003B47F0" w:rsidRDefault="008E3AF3" w:rsidP="008440BF">
            <w:pPr>
              <w:rPr>
                <w:rFonts w:cs="Arial"/>
                <w:b/>
                <w:color w:val="000000"/>
              </w:rPr>
            </w:pPr>
            <w:r>
              <w:rPr>
                <w:rFonts w:cs="Arial"/>
                <w:b/>
                <w:color w:val="000000"/>
              </w:rPr>
              <w:t>Uncertainties</w:t>
            </w:r>
          </w:p>
        </w:tc>
      </w:tr>
      <w:tr w:rsidR="00852D5E" w:rsidRPr="00A85AFC" w14:paraId="259BAAEB" w14:textId="4D97B410" w:rsidTr="00526102">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46A0DC3A" w14:textId="54FEB7D6" w:rsidR="00852D5E" w:rsidRPr="00A85AFC" w:rsidRDefault="00852D5E" w:rsidP="00852D5E">
            <w:pPr>
              <w:rPr>
                <w:rFonts w:cs="Arial"/>
                <w:b/>
                <w:color w:val="000000"/>
              </w:rPr>
            </w:pPr>
            <w:r>
              <w:rPr>
                <w:rFonts w:cs="Arial"/>
                <w:b/>
                <w:color w:val="000000"/>
                <w:sz w:val="18"/>
                <w:szCs w:val="18"/>
              </w:rPr>
              <w:t>Reference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50D6FA" w14:textId="6F490136" w:rsidR="00852D5E" w:rsidRPr="00A85AFC" w:rsidRDefault="008F7A30" w:rsidP="00852D5E">
            <w:pPr>
              <w:rPr>
                <w:rFonts w:cs="Arial"/>
                <w:b/>
                <w:color w:val="000000"/>
              </w:rPr>
            </w:pPr>
            <w:r>
              <w:rPr>
                <w:rFonts w:cs="Arial"/>
                <w:b/>
                <w:color w:val="000000"/>
                <w:sz w:val="18"/>
                <w:szCs w:val="18"/>
              </w:rPr>
              <w:t xml:space="preserve">Uncertainty </w:t>
            </w:r>
            <w:r w:rsidR="00852D5E">
              <w:rPr>
                <w:rFonts w:cs="Arial"/>
                <w:b/>
                <w:color w:val="000000"/>
                <w:sz w:val="18"/>
                <w:szCs w:val="18"/>
              </w:rPr>
              <w:t>name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E53F2EF" w14:textId="3C98F324" w:rsidR="00852D5E" w:rsidRDefault="008F7A30" w:rsidP="00852D5E">
            <w:pPr>
              <w:rPr>
                <w:rFonts w:cs="Arial"/>
                <w:i/>
                <w:iCs/>
                <w:color w:val="2575AE"/>
              </w:rPr>
            </w:pPr>
            <w:r>
              <w:rPr>
                <w:rFonts w:cs="Arial"/>
                <w:b/>
                <w:color w:val="000000"/>
                <w:sz w:val="18"/>
                <w:szCs w:val="18"/>
              </w:rPr>
              <w:t xml:space="preserve">Uncertainty </w:t>
            </w:r>
            <w:r w:rsidR="00852D5E">
              <w:rPr>
                <w:rFonts w:cs="Arial"/>
                <w:b/>
                <w:color w:val="000000"/>
                <w:sz w:val="18"/>
                <w:szCs w:val="18"/>
              </w:rPr>
              <w:t>type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E7BFB64" w14:textId="68B4D68F" w:rsidR="00852D5E" w:rsidRDefault="00852D5E" w:rsidP="00852D5E">
            <w:pPr>
              <w:rPr>
                <w:rFonts w:cs="Arial"/>
                <w:i/>
                <w:iCs/>
                <w:color w:val="2575AE"/>
              </w:rPr>
            </w:pPr>
            <w:r w:rsidRPr="00B9592B">
              <w:rPr>
                <w:rFonts w:cs="Arial"/>
                <w:b/>
                <w:color w:val="000000"/>
                <w:sz w:val="18"/>
                <w:szCs w:val="18"/>
              </w:rPr>
              <w:t>Description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13B4F44" w14:textId="7C981EF6" w:rsidR="00852D5E" w:rsidRDefault="00852D5E" w:rsidP="00852D5E">
            <w:pPr>
              <w:rPr>
                <w:rFonts w:cs="Arial"/>
                <w:i/>
                <w:iCs/>
                <w:color w:val="2575AE"/>
              </w:rPr>
            </w:pPr>
            <w:r>
              <w:rPr>
                <w:rFonts w:cs="Arial"/>
                <w:b/>
                <w:color w:val="000000"/>
                <w:sz w:val="18"/>
                <w:szCs w:val="18"/>
              </w:rPr>
              <w:t>Case where identified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A5AEA68" w14:textId="72E8BC99" w:rsidR="00852D5E" w:rsidRDefault="00852D5E" w:rsidP="00852D5E">
            <w:pPr>
              <w:rPr>
                <w:rFonts w:cs="Arial"/>
                <w:i/>
                <w:iCs/>
                <w:color w:val="2575AE"/>
              </w:rPr>
            </w:pPr>
            <w:r>
              <w:rPr>
                <w:rFonts w:cs="Arial"/>
                <w:b/>
                <w:color w:val="000000"/>
                <w:sz w:val="18"/>
                <w:szCs w:val="18"/>
              </w:rPr>
              <w:t>Likelihood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BC15F14" w14:textId="659835E3" w:rsidR="00852D5E" w:rsidRDefault="00852D5E" w:rsidP="00852D5E">
            <w:pPr>
              <w:rPr>
                <w:rFonts w:cs="Arial"/>
                <w:i/>
                <w:iCs/>
                <w:color w:val="2575AE"/>
              </w:rPr>
            </w:pPr>
            <w:r>
              <w:rPr>
                <w:rFonts w:cs="Arial"/>
                <w:b/>
                <w:color w:val="000000"/>
                <w:sz w:val="18"/>
                <w:szCs w:val="18"/>
              </w:rPr>
              <w:t>Impact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AF4213B" w14:textId="1B582C7E" w:rsidR="00852D5E" w:rsidRDefault="00852D5E" w:rsidP="00852D5E">
            <w:pPr>
              <w:rPr>
                <w:rFonts w:cs="Arial"/>
                <w:i/>
                <w:iCs/>
                <w:color w:val="2575AE"/>
              </w:rPr>
            </w:pPr>
            <w:r>
              <w:rPr>
                <w:rFonts w:cs="Arial"/>
                <w:b/>
                <w:color w:val="000000"/>
                <w:sz w:val="18"/>
                <w:szCs w:val="18"/>
              </w:rPr>
              <w:t>Timeframe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40D7CD1" w14:textId="20AFAE40" w:rsidR="00852D5E" w:rsidRDefault="00852D5E" w:rsidP="00852D5E">
            <w:pPr>
              <w:rPr>
                <w:rFonts w:cs="Arial"/>
                <w:i/>
                <w:iCs/>
                <w:color w:val="2575AE"/>
              </w:rPr>
            </w:pPr>
            <w:r>
              <w:rPr>
                <w:rFonts w:cs="Arial"/>
                <w:b/>
                <w:color w:val="000000"/>
                <w:sz w:val="18"/>
                <w:szCs w:val="18"/>
              </w:rPr>
              <w:t>Key assumptions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AC2D494" w14:textId="0EBC83E0" w:rsidR="00852D5E" w:rsidRDefault="00852D5E" w:rsidP="00852D5E">
            <w:pPr>
              <w:rPr>
                <w:rFonts w:cs="Arial"/>
                <w:i/>
                <w:iCs/>
                <w:color w:val="2575AE"/>
              </w:rPr>
            </w:pPr>
            <w:r>
              <w:rPr>
                <w:rFonts w:cs="Arial"/>
                <w:b/>
                <w:color w:val="000000"/>
                <w:sz w:val="18"/>
                <w:szCs w:val="18"/>
              </w:rPr>
              <w:t>Scenarios tested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27851A8" w14:textId="711BEBCF" w:rsidR="00852D5E" w:rsidRDefault="00852D5E" w:rsidP="00852D5E">
            <w:pPr>
              <w:rPr>
                <w:rFonts w:cs="Arial"/>
                <w:i/>
                <w:iCs/>
                <w:color w:val="2575AE"/>
              </w:rPr>
            </w:pPr>
            <w:r>
              <w:rPr>
                <w:rFonts w:cs="Arial"/>
                <w:b/>
                <w:color w:val="000000"/>
                <w:sz w:val="18"/>
                <w:szCs w:val="18"/>
              </w:rPr>
              <w:t>Status</w:t>
            </w:r>
          </w:p>
        </w:tc>
        <w:tc>
          <w:tcPr>
            <w:tcW w:w="3535" w:type="dxa"/>
            <w:tcBorders>
              <w:top w:val="single" w:sz="4" w:space="0" w:color="000000"/>
              <w:left w:val="single" w:sz="4" w:space="0" w:color="000000"/>
              <w:bottom w:val="single" w:sz="4" w:space="0" w:color="000000"/>
              <w:right w:val="single" w:sz="4" w:space="0" w:color="000000"/>
            </w:tcBorders>
            <w:shd w:val="clear" w:color="auto" w:fill="FFFFFF"/>
          </w:tcPr>
          <w:p w14:paraId="4FE3AA3F" w14:textId="21FFB793" w:rsidR="00852D5E" w:rsidRDefault="00B0315A" w:rsidP="00852D5E">
            <w:pPr>
              <w:rPr>
                <w:rFonts w:cs="Arial"/>
                <w:i/>
                <w:iCs/>
                <w:color w:val="2575AE"/>
              </w:rPr>
            </w:pPr>
            <w:r>
              <w:rPr>
                <w:rFonts w:cs="Arial"/>
                <w:b/>
                <w:color w:val="000000"/>
                <w:sz w:val="18"/>
                <w:szCs w:val="18"/>
              </w:rPr>
              <w:t>Uncertainty treatment</w:t>
            </w:r>
          </w:p>
        </w:tc>
      </w:tr>
      <w:tr w:rsidR="00852D5E" w:rsidRPr="00A85AFC" w14:paraId="0F4287A9" w14:textId="77777777" w:rsidTr="00AF1954">
        <w:tc>
          <w:tcPr>
            <w:tcW w:w="1129" w:type="dxa"/>
            <w:tcBorders>
              <w:top w:val="single" w:sz="4" w:space="0" w:color="000000"/>
              <w:left w:val="single" w:sz="4" w:space="0" w:color="000000"/>
              <w:bottom w:val="single" w:sz="4" w:space="0" w:color="000000"/>
              <w:right w:val="single" w:sz="4" w:space="0" w:color="000000"/>
            </w:tcBorders>
            <w:shd w:val="clear" w:color="auto" w:fill="FFFFFF"/>
            <w:vAlign w:val="top"/>
          </w:tcPr>
          <w:p w14:paraId="7E515389" w14:textId="27849CED" w:rsidR="00852D5E" w:rsidRPr="00A85AFC" w:rsidRDefault="008E3AF3" w:rsidP="00AF1954">
            <w:pPr>
              <w:rPr>
                <w:rFonts w:cs="Arial"/>
                <w:b/>
                <w:color w:val="000000"/>
              </w:rPr>
            </w:pPr>
            <w:r>
              <w:rPr>
                <w:rFonts w:cs="Arial"/>
                <w:i/>
                <w:iCs/>
                <w:color w:val="2575AE"/>
              </w:rPr>
              <w:t>U</w:t>
            </w:r>
            <w:r w:rsidR="00852D5E">
              <w:rPr>
                <w:rFonts w:cs="Arial"/>
                <w:i/>
                <w:iCs/>
                <w:color w:val="2575AE"/>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top"/>
          </w:tcPr>
          <w:p w14:paraId="10FEAB87" w14:textId="5CA544C1" w:rsidR="00852D5E" w:rsidRPr="00A85AFC" w:rsidRDefault="00852D5E" w:rsidP="00AF1954">
            <w:pPr>
              <w:rPr>
                <w:rFonts w:cs="Arial"/>
                <w:b/>
                <w:color w:val="000000"/>
              </w:rPr>
            </w:pPr>
            <w:r>
              <w:rPr>
                <w:rFonts w:cs="Arial"/>
                <w:i/>
                <w:iCs/>
                <w:color w:val="2575AE"/>
              </w:rPr>
              <w:t>Name of uncertainty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top"/>
          </w:tcPr>
          <w:p w14:paraId="15071E28" w14:textId="6535211B" w:rsidR="00852D5E" w:rsidRDefault="00C07C47" w:rsidP="00AF1954">
            <w:pPr>
              <w:rPr>
                <w:rFonts w:cs="Arial"/>
                <w:i/>
                <w:iCs/>
                <w:color w:val="2575AE"/>
              </w:rPr>
            </w:pPr>
            <w:r>
              <w:rPr>
                <w:rFonts w:cs="Arial"/>
                <w:i/>
                <w:iCs/>
                <w:color w:val="2575AE"/>
              </w:rPr>
              <w:t>For example</w:t>
            </w:r>
            <w:r w:rsidR="00852D5E">
              <w:rPr>
                <w:rFonts w:cs="Arial"/>
                <w:i/>
                <w:iCs/>
                <w:color w:val="2575AE"/>
              </w:rPr>
              <w:t xml:space="preserve"> demand; supply; productivity; </w:t>
            </w:r>
            <w:r w:rsidR="00B0315A">
              <w:rPr>
                <w:rFonts w:cs="Arial"/>
                <w:i/>
                <w:iCs/>
                <w:color w:val="2575AE"/>
              </w:rPr>
              <w:t>economic</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top"/>
          </w:tcPr>
          <w:p w14:paraId="4D1C9C47" w14:textId="7C2860EF" w:rsidR="00852D5E" w:rsidRDefault="00852D5E" w:rsidP="00AF1954">
            <w:pPr>
              <w:rPr>
                <w:rFonts w:cs="Arial"/>
                <w:i/>
                <w:iCs/>
                <w:color w:val="2575AE"/>
              </w:rPr>
            </w:pPr>
            <w:r>
              <w:rPr>
                <w:rFonts w:cs="Arial"/>
                <w:i/>
                <w:iCs/>
                <w:color w:val="2575AE"/>
              </w:rPr>
              <w:t>Brief description of the uncertainty, eg potential land</w:t>
            </w:r>
            <w:r w:rsidR="00C8752B">
              <w:rPr>
                <w:rFonts w:cs="Arial"/>
                <w:i/>
                <w:iCs/>
                <w:color w:val="2575AE"/>
              </w:rPr>
              <w:t>-</w:t>
            </w:r>
            <w:r>
              <w:rPr>
                <w:rFonts w:cs="Arial"/>
                <w:i/>
                <w:iCs/>
                <w:color w:val="2575AE"/>
              </w:rPr>
              <w:t>use change, uncertainty relating to demographic or other growth projection,</w:t>
            </w:r>
            <w:r w:rsidR="00526102">
              <w:rPr>
                <w:rFonts w:cs="Arial"/>
                <w:i/>
                <w:iCs/>
                <w:color w:val="2575AE"/>
              </w:rPr>
              <w:t xml:space="preserve"> climate change trends or system shocks, technology etc</w:t>
            </w:r>
            <w:r>
              <w:rPr>
                <w:rFonts w:cs="Arial"/>
                <w:i/>
                <w:iCs/>
                <w:color w:val="2575A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top"/>
          </w:tcPr>
          <w:p w14:paraId="5DA42F06" w14:textId="38581DEE" w:rsidR="00852D5E" w:rsidRDefault="00852D5E" w:rsidP="00AF1954">
            <w:pPr>
              <w:rPr>
                <w:rFonts w:cs="Arial"/>
                <w:i/>
                <w:iCs/>
                <w:color w:val="2575AE"/>
              </w:rPr>
            </w:pPr>
            <w:r>
              <w:rPr>
                <w:rFonts w:cs="Arial"/>
                <w:i/>
                <w:iCs/>
                <w:color w:val="2575AE"/>
              </w:rPr>
              <w:t xml:space="preserve">Case </w:t>
            </w:r>
            <w:r w:rsidR="00526102">
              <w:rPr>
                <w:rFonts w:cs="Arial"/>
                <w:i/>
                <w:iCs/>
                <w:color w:val="2575AE"/>
              </w:rPr>
              <w:t>(</w:t>
            </w:r>
            <w:r>
              <w:rPr>
                <w:rFonts w:cs="Arial"/>
                <w:i/>
                <w:iCs/>
                <w:color w:val="2575AE"/>
              </w:rPr>
              <w:t xml:space="preserve">from the </w:t>
            </w:r>
            <w:r w:rsidR="00C8752B">
              <w:rPr>
                <w:rFonts w:cs="Arial"/>
                <w:i/>
                <w:iCs/>
                <w:color w:val="2575AE"/>
              </w:rPr>
              <w:t>five</w:t>
            </w:r>
            <w:r>
              <w:rPr>
                <w:rFonts w:cs="Arial"/>
                <w:i/>
                <w:iCs/>
                <w:color w:val="2575AE"/>
              </w:rPr>
              <w:t>-case model</w:t>
            </w:r>
            <w:r w:rsidR="00526102">
              <w:rPr>
                <w:rFonts w:cs="Arial"/>
                <w:i/>
                <w:iCs/>
                <w:color w:val="2575AE"/>
              </w:rPr>
              <w:t>)</w:t>
            </w:r>
            <w:r>
              <w:rPr>
                <w:rFonts w:cs="Arial"/>
                <w:i/>
                <w:iCs/>
                <w:color w:val="2575AE"/>
              </w:rPr>
              <w:t xml:space="preserve"> where the uncertainty is </w:t>
            </w:r>
            <w:r w:rsidR="00526102">
              <w:rPr>
                <w:rFonts w:cs="Arial"/>
                <w:i/>
                <w:iCs/>
                <w:color w:val="2575AE"/>
              </w:rPr>
              <w:t xml:space="preserve">identified/ </w:t>
            </w:r>
            <w:r>
              <w:rPr>
                <w:rFonts w:cs="Arial"/>
                <w:i/>
                <w:iCs/>
                <w:color w:val="2575AE"/>
              </w:rPr>
              <w:t>described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top"/>
          </w:tcPr>
          <w:p w14:paraId="7EACF435" w14:textId="4F5FB0DD" w:rsidR="00852D5E" w:rsidRDefault="00852D5E" w:rsidP="00AF1954">
            <w:pPr>
              <w:rPr>
                <w:rFonts w:cs="Arial"/>
                <w:i/>
                <w:iCs/>
                <w:color w:val="2575AE"/>
              </w:rPr>
            </w:pPr>
            <w:r>
              <w:rPr>
                <w:rFonts w:cs="Arial"/>
                <w:i/>
                <w:iCs/>
                <w:color w:val="2575AE"/>
              </w:rPr>
              <w:t>See table below</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top"/>
          </w:tcPr>
          <w:p w14:paraId="4C219F32" w14:textId="2510E5F5" w:rsidR="00852D5E" w:rsidRDefault="00852D5E" w:rsidP="00AF1954">
            <w:pPr>
              <w:rPr>
                <w:rFonts w:cs="Arial"/>
                <w:i/>
                <w:iCs/>
                <w:color w:val="2575AE"/>
              </w:rPr>
            </w:pPr>
            <w:r>
              <w:rPr>
                <w:rFonts w:cs="Arial"/>
                <w:i/>
                <w:iCs/>
                <w:color w:val="2575AE"/>
              </w:rPr>
              <w:t>See table below</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top"/>
          </w:tcPr>
          <w:p w14:paraId="40E52A70" w14:textId="1452A00E" w:rsidR="00852D5E" w:rsidRDefault="00852D5E" w:rsidP="00AF1954">
            <w:pPr>
              <w:rPr>
                <w:rFonts w:cs="Arial"/>
                <w:i/>
                <w:iCs/>
                <w:color w:val="2575AE"/>
              </w:rPr>
            </w:pPr>
            <w:r>
              <w:rPr>
                <w:rFonts w:cs="Arial"/>
                <w:i/>
                <w:iCs/>
                <w:color w:val="2575AE"/>
              </w:rPr>
              <w:t>The most likely timeframe for the uncertainty to be realised</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top"/>
          </w:tcPr>
          <w:p w14:paraId="3299EC65" w14:textId="5A8BF30F" w:rsidR="00852D5E" w:rsidRDefault="004B0B07" w:rsidP="00AF1954">
            <w:pPr>
              <w:rPr>
                <w:rFonts w:cs="Arial"/>
                <w:i/>
                <w:iCs/>
                <w:color w:val="2575AE"/>
              </w:rPr>
            </w:pPr>
            <w:r>
              <w:rPr>
                <w:rFonts w:cs="Arial"/>
                <w:i/>
                <w:iCs/>
                <w:color w:val="2575AE"/>
              </w:rPr>
              <w:t xml:space="preserve">List any key assumptions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top"/>
          </w:tcPr>
          <w:p w14:paraId="560EB322" w14:textId="1DB59756" w:rsidR="00852D5E" w:rsidRDefault="008E3AF3" w:rsidP="00AF1954">
            <w:pPr>
              <w:rPr>
                <w:rFonts w:cs="Arial"/>
                <w:i/>
                <w:iCs/>
                <w:color w:val="2575AE"/>
              </w:rPr>
            </w:pPr>
            <w:r>
              <w:rPr>
                <w:rFonts w:cs="Arial"/>
                <w:i/>
                <w:iCs/>
                <w:color w:val="2575AE"/>
              </w:rPr>
              <w:t xml:space="preserve">For example,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top"/>
          </w:tcPr>
          <w:p w14:paraId="0CFB1465" w14:textId="378E9955" w:rsidR="00852D5E" w:rsidRDefault="00C8752B" w:rsidP="00AF1954">
            <w:pPr>
              <w:rPr>
                <w:rFonts w:cs="Arial"/>
                <w:i/>
                <w:iCs/>
                <w:color w:val="2575AE"/>
              </w:rPr>
            </w:pPr>
            <w:r>
              <w:rPr>
                <w:rFonts w:cs="Arial"/>
                <w:i/>
                <w:iCs/>
                <w:color w:val="2575AE"/>
              </w:rPr>
              <w:t>For example</w:t>
            </w:r>
            <w:r w:rsidR="00CB0A26">
              <w:rPr>
                <w:rFonts w:cs="Arial"/>
                <w:i/>
                <w:iCs/>
                <w:color w:val="2575AE"/>
              </w:rPr>
              <w:t xml:space="preserve"> preliminary, live, closed</w:t>
            </w:r>
          </w:p>
        </w:tc>
        <w:tc>
          <w:tcPr>
            <w:tcW w:w="3535" w:type="dxa"/>
            <w:tcBorders>
              <w:top w:val="single" w:sz="4" w:space="0" w:color="000000"/>
              <w:left w:val="single" w:sz="4" w:space="0" w:color="000000"/>
              <w:bottom w:val="single" w:sz="4" w:space="0" w:color="000000"/>
              <w:right w:val="single" w:sz="4" w:space="0" w:color="000000"/>
            </w:tcBorders>
            <w:shd w:val="clear" w:color="auto" w:fill="FFFFFF"/>
            <w:vAlign w:val="top"/>
          </w:tcPr>
          <w:p w14:paraId="174A0F88" w14:textId="2BBCED0D" w:rsidR="00852D5E" w:rsidRDefault="008E3AF3" w:rsidP="00AF1954">
            <w:pPr>
              <w:rPr>
                <w:rFonts w:cs="Arial"/>
                <w:i/>
                <w:iCs/>
                <w:color w:val="2575AE"/>
              </w:rPr>
            </w:pPr>
            <w:r>
              <w:rPr>
                <w:rFonts w:cs="Arial"/>
                <w:i/>
                <w:iCs/>
                <w:color w:val="2575AE"/>
              </w:rPr>
              <w:t xml:space="preserve">Describe the </w:t>
            </w:r>
            <w:r w:rsidR="00526102">
              <w:rPr>
                <w:rFonts w:cs="Arial"/>
                <w:i/>
                <w:iCs/>
                <w:color w:val="2575AE"/>
              </w:rPr>
              <w:t xml:space="preserve">proposed </w:t>
            </w:r>
            <w:r>
              <w:rPr>
                <w:rFonts w:cs="Arial"/>
                <w:i/>
                <w:iCs/>
                <w:color w:val="2575AE"/>
              </w:rPr>
              <w:t>approach to manag</w:t>
            </w:r>
            <w:r w:rsidR="00526102">
              <w:rPr>
                <w:rFonts w:cs="Arial"/>
                <w:i/>
                <w:iCs/>
                <w:color w:val="2575AE"/>
              </w:rPr>
              <w:t>e</w:t>
            </w:r>
            <w:r>
              <w:rPr>
                <w:rFonts w:cs="Arial"/>
                <w:i/>
                <w:iCs/>
                <w:color w:val="2575AE"/>
              </w:rPr>
              <w:t xml:space="preserve"> the uncertainty, eg </w:t>
            </w:r>
            <w:r w:rsidR="008E0E60">
              <w:rPr>
                <w:rFonts w:cs="Arial"/>
                <w:i/>
                <w:iCs/>
                <w:color w:val="2575AE"/>
              </w:rPr>
              <w:t>sensitivity testing</w:t>
            </w:r>
            <w:r>
              <w:rPr>
                <w:rFonts w:cs="Arial"/>
                <w:i/>
                <w:iCs/>
                <w:color w:val="2575AE"/>
              </w:rPr>
              <w:t>,</w:t>
            </w:r>
            <w:r w:rsidR="00CB0A26">
              <w:rPr>
                <w:rFonts w:cs="Arial"/>
                <w:i/>
                <w:iCs/>
                <w:color w:val="2575AE"/>
              </w:rPr>
              <w:t xml:space="preserve"> real options analysis</w:t>
            </w:r>
          </w:p>
        </w:tc>
      </w:tr>
      <w:tr w:rsidR="00852D5E" w:rsidRPr="00A85AFC" w14:paraId="26B00791" w14:textId="77777777" w:rsidTr="00526102">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3AECEA6" w14:textId="2584EF6A" w:rsidR="00852D5E" w:rsidRPr="00CD0BC9" w:rsidRDefault="008E3AF3" w:rsidP="00852D5E">
            <w:pPr>
              <w:rPr>
                <w:rFonts w:cs="Arial"/>
                <w:i/>
                <w:iCs/>
                <w:color w:val="2575AE"/>
              </w:rPr>
            </w:pPr>
            <w:r>
              <w:rPr>
                <w:rFonts w:cs="Arial"/>
                <w:i/>
                <w:iCs/>
                <w:color w:val="2575AE"/>
              </w:rPr>
              <w:t>U</w:t>
            </w:r>
            <w:r w:rsidR="00CD0BC9" w:rsidRPr="00CD0BC9">
              <w:rPr>
                <w:rFonts w:cs="Arial"/>
                <w:i/>
                <w:iCs/>
                <w:color w:val="2575AE"/>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43A9996" w14:textId="77777777" w:rsidR="00852D5E" w:rsidRPr="00A85AFC" w:rsidRDefault="00852D5E" w:rsidP="00852D5E">
            <w:pPr>
              <w:rPr>
                <w:rFonts w:cs="Arial"/>
                <w:b/>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722DCD2" w14:textId="77777777" w:rsidR="00852D5E" w:rsidRDefault="00852D5E" w:rsidP="00852D5E">
            <w:pPr>
              <w:rPr>
                <w:rFonts w:cs="Arial"/>
                <w:i/>
                <w:iCs/>
                <w:color w:val="2575AE"/>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F7E2926" w14:textId="77777777" w:rsidR="00852D5E" w:rsidRDefault="00852D5E" w:rsidP="00852D5E">
            <w:pPr>
              <w:rPr>
                <w:rFonts w:cs="Arial"/>
                <w:i/>
                <w:iCs/>
                <w:color w:val="2575A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5FD6DE0"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66CE066"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E98179" w14:textId="77777777" w:rsidR="00852D5E" w:rsidRDefault="00852D5E" w:rsidP="00852D5E">
            <w:pPr>
              <w:rPr>
                <w:rFonts w:cs="Arial"/>
                <w:i/>
                <w:iCs/>
                <w:color w:val="2575A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E18BF52" w14:textId="77777777" w:rsidR="00852D5E" w:rsidRDefault="00852D5E" w:rsidP="00852D5E">
            <w:pPr>
              <w:rPr>
                <w:rFonts w:cs="Arial"/>
                <w:i/>
                <w:iCs/>
                <w:color w:val="2575AE"/>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67087C0" w14:textId="77777777" w:rsidR="00852D5E" w:rsidRDefault="00852D5E" w:rsidP="00852D5E">
            <w:pPr>
              <w:rPr>
                <w:rFonts w:cs="Arial"/>
                <w:i/>
                <w:iCs/>
                <w:color w:val="2575AE"/>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614BE38" w14:textId="77777777" w:rsidR="00852D5E" w:rsidRDefault="00852D5E" w:rsidP="00852D5E">
            <w:pPr>
              <w:rPr>
                <w:rFonts w:cs="Arial"/>
                <w:i/>
                <w:iCs/>
                <w:color w:val="2575A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4D252B7" w14:textId="77777777" w:rsidR="00852D5E" w:rsidRDefault="00852D5E" w:rsidP="00852D5E">
            <w:pPr>
              <w:rPr>
                <w:rFonts w:cs="Arial"/>
                <w:i/>
                <w:iCs/>
                <w:color w:val="2575AE"/>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Pr>
          <w:p w14:paraId="43BC37A8" w14:textId="77777777" w:rsidR="00852D5E" w:rsidRDefault="00852D5E" w:rsidP="00852D5E">
            <w:pPr>
              <w:rPr>
                <w:rFonts w:cs="Arial"/>
                <w:i/>
                <w:iCs/>
                <w:color w:val="2575AE"/>
              </w:rPr>
            </w:pPr>
          </w:p>
        </w:tc>
      </w:tr>
      <w:tr w:rsidR="00852D5E" w:rsidRPr="00A85AFC" w14:paraId="7F52D087" w14:textId="77777777" w:rsidTr="00526102">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EDCC6E6" w14:textId="77E17BA3" w:rsidR="00852D5E" w:rsidRPr="00CD0BC9" w:rsidRDefault="008E3AF3" w:rsidP="00852D5E">
            <w:pPr>
              <w:rPr>
                <w:rFonts w:cs="Arial"/>
                <w:i/>
                <w:iCs/>
                <w:color w:val="2575AE"/>
              </w:rPr>
            </w:pPr>
            <w:r>
              <w:rPr>
                <w:rFonts w:cs="Arial"/>
                <w:i/>
                <w:iCs/>
                <w:color w:val="2575AE"/>
              </w:rPr>
              <w:t>U</w:t>
            </w:r>
            <w:r w:rsidR="00CD0BC9" w:rsidRPr="00CD0BC9">
              <w:rPr>
                <w:rFonts w:cs="Arial"/>
                <w:i/>
                <w:iCs/>
                <w:color w:val="2575AE"/>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6C74E4E" w14:textId="77777777" w:rsidR="00852D5E" w:rsidRPr="00A85AFC" w:rsidRDefault="00852D5E" w:rsidP="00852D5E">
            <w:pPr>
              <w:rPr>
                <w:rFonts w:cs="Arial"/>
                <w:b/>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713DDC7" w14:textId="77777777" w:rsidR="00852D5E" w:rsidRDefault="00852D5E" w:rsidP="00852D5E">
            <w:pPr>
              <w:rPr>
                <w:rFonts w:cs="Arial"/>
                <w:i/>
                <w:iCs/>
                <w:color w:val="2575AE"/>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02FF428" w14:textId="77777777" w:rsidR="00852D5E" w:rsidRDefault="00852D5E" w:rsidP="00852D5E">
            <w:pPr>
              <w:rPr>
                <w:rFonts w:cs="Arial"/>
                <w:i/>
                <w:iCs/>
                <w:color w:val="2575A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AB68CB5"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840BDFE"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6C582A1" w14:textId="77777777" w:rsidR="00852D5E" w:rsidRDefault="00852D5E" w:rsidP="00852D5E">
            <w:pPr>
              <w:rPr>
                <w:rFonts w:cs="Arial"/>
                <w:i/>
                <w:iCs/>
                <w:color w:val="2575A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2312DAA" w14:textId="77777777" w:rsidR="00852D5E" w:rsidRDefault="00852D5E" w:rsidP="00852D5E">
            <w:pPr>
              <w:rPr>
                <w:rFonts w:cs="Arial"/>
                <w:i/>
                <w:iCs/>
                <w:color w:val="2575AE"/>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3B177B3" w14:textId="77777777" w:rsidR="00852D5E" w:rsidRDefault="00852D5E" w:rsidP="00852D5E">
            <w:pPr>
              <w:rPr>
                <w:rFonts w:cs="Arial"/>
                <w:i/>
                <w:iCs/>
                <w:color w:val="2575AE"/>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A49D690" w14:textId="77777777" w:rsidR="00852D5E" w:rsidRDefault="00852D5E" w:rsidP="00852D5E">
            <w:pPr>
              <w:rPr>
                <w:rFonts w:cs="Arial"/>
                <w:i/>
                <w:iCs/>
                <w:color w:val="2575A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DB91633" w14:textId="77777777" w:rsidR="00852D5E" w:rsidRDefault="00852D5E" w:rsidP="00852D5E">
            <w:pPr>
              <w:rPr>
                <w:rFonts w:cs="Arial"/>
                <w:i/>
                <w:iCs/>
                <w:color w:val="2575AE"/>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Pr>
          <w:p w14:paraId="00956BBD" w14:textId="77777777" w:rsidR="00852D5E" w:rsidRDefault="00852D5E" w:rsidP="00852D5E">
            <w:pPr>
              <w:rPr>
                <w:rFonts w:cs="Arial"/>
                <w:i/>
                <w:iCs/>
                <w:color w:val="2575AE"/>
              </w:rPr>
            </w:pPr>
          </w:p>
        </w:tc>
      </w:tr>
      <w:tr w:rsidR="00852D5E" w:rsidRPr="00A85AFC" w14:paraId="19A81C73" w14:textId="77777777" w:rsidTr="00526102">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700195E0" w14:textId="20511D05" w:rsidR="00852D5E" w:rsidRPr="00CD0BC9" w:rsidRDefault="008E3AF3" w:rsidP="00852D5E">
            <w:pPr>
              <w:rPr>
                <w:rFonts w:cs="Arial"/>
                <w:i/>
                <w:iCs/>
                <w:color w:val="2575AE"/>
              </w:rPr>
            </w:pPr>
            <w:r>
              <w:rPr>
                <w:rFonts w:cs="Arial"/>
                <w:i/>
                <w:iCs/>
                <w:color w:val="2575AE"/>
              </w:rPr>
              <w:t>U</w:t>
            </w:r>
            <w:r w:rsidR="00CD0BC9" w:rsidRPr="00CD0BC9">
              <w:rPr>
                <w:rFonts w:cs="Arial"/>
                <w:i/>
                <w:iCs/>
                <w:color w:val="2575AE"/>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7DFB6ED" w14:textId="77777777" w:rsidR="00852D5E" w:rsidRPr="00A85AFC" w:rsidRDefault="00852D5E" w:rsidP="00852D5E">
            <w:pPr>
              <w:rPr>
                <w:rFonts w:cs="Arial"/>
                <w:b/>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C796203" w14:textId="77777777" w:rsidR="00852D5E" w:rsidRDefault="00852D5E" w:rsidP="00852D5E">
            <w:pPr>
              <w:rPr>
                <w:rFonts w:cs="Arial"/>
                <w:i/>
                <w:iCs/>
                <w:color w:val="2575AE"/>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7B1E49B" w14:textId="77777777" w:rsidR="00852D5E" w:rsidRDefault="00852D5E" w:rsidP="00852D5E">
            <w:pPr>
              <w:rPr>
                <w:rFonts w:cs="Arial"/>
                <w:i/>
                <w:iCs/>
                <w:color w:val="2575A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E9BEE25"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F0BC122"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0FCF7F6" w14:textId="77777777" w:rsidR="00852D5E" w:rsidRDefault="00852D5E" w:rsidP="00852D5E">
            <w:pPr>
              <w:rPr>
                <w:rFonts w:cs="Arial"/>
                <w:i/>
                <w:iCs/>
                <w:color w:val="2575A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3C18491" w14:textId="77777777" w:rsidR="00852D5E" w:rsidRDefault="00852D5E" w:rsidP="00852D5E">
            <w:pPr>
              <w:rPr>
                <w:rFonts w:cs="Arial"/>
                <w:i/>
                <w:iCs/>
                <w:color w:val="2575AE"/>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2076D3F" w14:textId="77777777" w:rsidR="00852D5E" w:rsidRDefault="00852D5E" w:rsidP="00852D5E">
            <w:pPr>
              <w:rPr>
                <w:rFonts w:cs="Arial"/>
                <w:i/>
                <w:iCs/>
                <w:color w:val="2575AE"/>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71F6B0B2" w14:textId="77777777" w:rsidR="00852D5E" w:rsidRDefault="00852D5E" w:rsidP="00852D5E">
            <w:pPr>
              <w:rPr>
                <w:rFonts w:cs="Arial"/>
                <w:i/>
                <w:iCs/>
                <w:color w:val="2575A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FE5A051" w14:textId="77777777" w:rsidR="00852D5E" w:rsidRDefault="00852D5E" w:rsidP="00852D5E">
            <w:pPr>
              <w:rPr>
                <w:rFonts w:cs="Arial"/>
                <w:i/>
                <w:iCs/>
                <w:color w:val="2575AE"/>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Pr>
          <w:p w14:paraId="47441360" w14:textId="77777777" w:rsidR="00852D5E" w:rsidRDefault="00852D5E" w:rsidP="00852D5E">
            <w:pPr>
              <w:rPr>
                <w:rFonts w:cs="Arial"/>
                <w:i/>
                <w:iCs/>
                <w:color w:val="2575AE"/>
              </w:rPr>
            </w:pPr>
          </w:p>
        </w:tc>
      </w:tr>
      <w:tr w:rsidR="00852D5E" w:rsidRPr="00A85AFC" w14:paraId="38C6681F" w14:textId="77777777" w:rsidTr="00526102">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4C00E86D" w14:textId="62D30595" w:rsidR="00852D5E" w:rsidRPr="00CD0BC9" w:rsidRDefault="008E3AF3" w:rsidP="00852D5E">
            <w:pPr>
              <w:rPr>
                <w:rFonts w:cs="Arial"/>
                <w:i/>
                <w:iCs/>
                <w:color w:val="2575AE"/>
              </w:rPr>
            </w:pPr>
            <w:r>
              <w:rPr>
                <w:rFonts w:cs="Arial"/>
                <w:i/>
                <w:iCs/>
                <w:color w:val="2575AE"/>
              </w:rPr>
              <w:t>U</w:t>
            </w:r>
            <w:r w:rsidR="00CD0BC9" w:rsidRPr="00CD0BC9">
              <w:rPr>
                <w:rFonts w:cs="Arial"/>
                <w:i/>
                <w:iCs/>
                <w:color w:val="2575AE"/>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9E171E4" w14:textId="77777777" w:rsidR="00852D5E" w:rsidRPr="00A85AFC" w:rsidRDefault="00852D5E" w:rsidP="00852D5E">
            <w:pPr>
              <w:rPr>
                <w:rFonts w:cs="Arial"/>
                <w:b/>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8DB1EEE" w14:textId="77777777" w:rsidR="00852D5E" w:rsidRDefault="00852D5E" w:rsidP="00852D5E">
            <w:pPr>
              <w:rPr>
                <w:rFonts w:cs="Arial"/>
                <w:i/>
                <w:iCs/>
                <w:color w:val="2575AE"/>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93E67E7" w14:textId="77777777" w:rsidR="00852D5E" w:rsidRDefault="00852D5E" w:rsidP="00852D5E">
            <w:pPr>
              <w:rPr>
                <w:rFonts w:cs="Arial"/>
                <w:i/>
                <w:iCs/>
                <w:color w:val="2575A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A24E1C8"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3F69FD4"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75E70B0" w14:textId="77777777" w:rsidR="00852D5E" w:rsidRDefault="00852D5E" w:rsidP="00852D5E">
            <w:pPr>
              <w:rPr>
                <w:rFonts w:cs="Arial"/>
                <w:i/>
                <w:iCs/>
                <w:color w:val="2575A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D1606B3" w14:textId="77777777" w:rsidR="00852D5E" w:rsidRDefault="00852D5E" w:rsidP="00852D5E">
            <w:pPr>
              <w:rPr>
                <w:rFonts w:cs="Arial"/>
                <w:i/>
                <w:iCs/>
                <w:color w:val="2575AE"/>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10BD70C" w14:textId="77777777" w:rsidR="00852D5E" w:rsidRDefault="00852D5E" w:rsidP="00852D5E">
            <w:pPr>
              <w:rPr>
                <w:rFonts w:cs="Arial"/>
                <w:i/>
                <w:iCs/>
                <w:color w:val="2575AE"/>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E45AEEB" w14:textId="77777777" w:rsidR="00852D5E" w:rsidRDefault="00852D5E" w:rsidP="00852D5E">
            <w:pPr>
              <w:rPr>
                <w:rFonts w:cs="Arial"/>
                <w:i/>
                <w:iCs/>
                <w:color w:val="2575A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25432C1" w14:textId="77777777" w:rsidR="00852D5E" w:rsidRDefault="00852D5E" w:rsidP="00852D5E">
            <w:pPr>
              <w:rPr>
                <w:rFonts w:cs="Arial"/>
                <w:i/>
                <w:iCs/>
                <w:color w:val="2575AE"/>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Pr>
          <w:p w14:paraId="332BF799" w14:textId="77777777" w:rsidR="00852D5E" w:rsidRDefault="00852D5E" w:rsidP="00852D5E">
            <w:pPr>
              <w:rPr>
                <w:rFonts w:cs="Arial"/>
                <w:i/>
                <w:iCs/>
                <w:color w:val="2575AE"/>
              </w:rPr>
            </w:pPr>
          </w:p>
        </w:tc>
      </w:tr>
      <w:tr w:rsidR="00852D5E" w:rsidRPr="00A85AFC" w14:paraId="44BC9769" w14:textId="77777777" w:rsidTr="00526102">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5117BCAC" w14:textId="548A0AE1" w:rsidR="00852D5E" w:rsidRPr="00CD0BC9" w:rsidRDefault="008E3AF3" w:rsidP="00852D5E">
            <w:pPr>
              <w:rPr>
                <w:rFonts w:cs="Arial"/>
                <w:i/>
                <w:iCs/>
                <w:color w:val="2575AE"/>
              </w:rPr>
            </w:pPr>
            <w:r>
              <w:rPr>
                <w:rFonts w:cs="Arial"/>
                <w:i/>
                <w:iCs/>
                <w:color w:val="2575AE"/>
              </w:rPr>
              <w:t>U</w:t>
            </w:r>
            <w:r w:rsidR="00CD0BC9" w:rsidRPr="00CD0BC9">
              <w:rPr>
                <w:rFonts w:cs="Arial"/>
                <w:i/>
                <w:iCs/>
                <w:color w:val="2575AE"/>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6ADE1C3" w14:textId="77777777" w:rsidR="00852D5E" w:rsidRPr="00A85AFC" w:rsidRDefault="00852D5E" w:rsidP="00852D5E">
            <w:pPr>
              <w:rPr>
                <w:rFonts w:cs="Arial"/>
                <w:b/>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7BAB010" w14:textId="77777777" w:rsidR="00852D5E" w:rsidRDefault="00852D5E" w:rsidP="00852D5E">
            <w:pPr>
              <w:rPr>
                <w:rFonts w:cs="Arial"/>
                <w:i/>
                <w:iCs/>
                <w:color w:val="2575AE"/>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0010E75" w14:textId="77777777" w:rsidR="00852D5E" w:rsidRDefault="00852D5E" w:rsidP="00852D5E">
            <w:pPr>
              <w:rPr>
                <w:rFonts w:cs="Arial"/>
                <w:i/>
                <w:iCs/>
                <w:color w:val="2575A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39484A3"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3B1046E"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903D809" w14:textId="77777777" w:rsidR="00852D5E" w:rsidRDefault="00852D5E" w:rsidP="00852D5E">
            <w:pPr>
              <w:rPr>
                <w:rFonts w:cs="Arial"/>
                <w:i/>
                <w:iCs/>
                <w:color w:val="2575A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383B6A6" w14:textId="77777777" w:rsidR="00852D5E" w:rsidRDefault="00852D5E" w:rsidP="00852D5E">
            <w:pPr>
              <w:rPr>
                <w:rFonts w:cs="Arial"/>
                <w:i/>
                <w:iCs/>
                <w:color w:val="2575AE"/>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F02CEED" w14:textId="77777777" w:rsidR="00852D5E" w:rsidRDefault="00852D5E" w:rsidP="00852D5E">
            <w:pPr>
              <w:rPr>
                <w:rFonts w:cs="Arial"/>
                <w:i/>
                <w:iCs/>
                <w:color w:val="2575AE"/>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9C94506" w14:textId="77777777" w:rsidR="00852D5E" w:rsidRDefault="00852D5E" w:rsidP="00852D5E">
            <w:pPr>
              <w:rPr>
                <w:rFonts w:cs="Arial"/>
                <w:i/>
                <w:iCs/>
                <w:color w:val="2575A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969B273" w14:textId="77777777" w:rsidR="00852D5E" w:rsidRDefault="00852D5E" w:rsidP="00852D5E">
            <w:pPr>
              <w:rPr>
                <w:rFonts w:cs="Arial"/>
                <w:i/>
                <w:iCs/>
                <w:color w:val="2575AE"/>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Pr>
          <w:p w14:paraId="56EFB341" w14:textId="77777777" w:rsidR="00852D5E" w:rsidRDefault="00852D5E" w:rsidP="00852D5E">
            <w:pPr>
              <w:rPr>
                <w:rFonts w:cs="Arial"/>
                <w:i/>
                <w:iCs/>
                <w:color w:val="2575AE"/>
              </w:rPr>
            </w:pPr>
          </w:p>
        </w:tc>
      </w:tr>
      <w:tr w:rsidR="00852D5E" w:rsidRPr="00A85AFC" w14:paraId="2E1DE556" w14:textId="77777777" w:rsidTr="00526102">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1C9FC18C" w14:textId="1E4E98D1" w:rsidR="00852D5E" w:rsidRPr="00A85AFC" w:rsidRDefault="00173CC0" w:rsidP="00852D5E">
            <w:pPr>
              <w:rPr>
                <w:rFonts w:cs="Arial"/>
                <w:b/>
                <w:color w:val="000000"/>
              </w:rPr>
            </w:pPr>
            <w:r>
              <w:rPr>
                <w:rFonts w:cs="Arial"/>
                <w:i/>
                <w:iCs/>
                <w:color w:val="2575AE"/>
              </w:rPr>
              <w:t>U7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7D0CFAF" w14:textId="77777777" w:rsidR="00852D5E" w:rsidRPr="00A85AFC" w:rsidRDefault="00852D5E" w:rsidP="00852D5E">
            <w:pPr>
              <w:rPr>
                <w:rFonts w:cs="Arial"/>
                <w:b/>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0BC2C69" w14:textId="77777777" w:rsidR="00852D5E" w:rsidRDefault="00852D5E" w:rsidP="00852D5E">
            <w:pPr>
              <w:rPr>
                <w:rFonts w:cs="Arial"/>
                <w:i/>
                <w:iCs/>
                <w:color w:val="2575AE"/>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E00AF0F" w14:textId="77777777" w:rsidR="00852D5E" w:rsidRDefault="00852D5E" w:rsidP="00852D5E">
            <w:pPr>
              <w:rPr>
                <w:rFonts w:cs="Arial"/>
                <w:i/>
                <w:iCs/>
                <w:color w:val="2575A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B48900A"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9CAB54F" w14:textId="77777777" w:rsidR="00852D5E" w:rsidRDefault="00852D5E" w:rsidP="00852D5E">
            <w:pPr>
              <w:rPr>
                <w:rFonts w:cs="Arial"/>
                <w:i/>
                <w:iCs/>
                <w:color w:val="2575A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09A8445" w14:textId="77777777" w:rsidR="00852D5E" w:rsidRDefault="00852D5E" w:rsidP="00852D5E">
            <w:pPr>
              <w:rPr>
                <w:rFonts w:cs="Arial"/>
                <w:i/>
                <w:iCs/>
                <w:color w:val="2575A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D12C79" w14:textId="77777777" w:rsidR="00852D5E" w:rsidRDefault="00852D5E" w:rsidP="00852D5E">
            <w:pPr>
              <w:rPr>
                <w:rFonts w:cs="Arial"/>
                <w:i/>
                <w:iCs/>
                <w:color w:val="2575AE"/>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DA3FCE4" w14:textId="77777777" w:rsidR="00852D5E" w:rsidRDefault="00852D5E" w:rsidP="00852D5E">
            <w:pPr>
              <w:rPr>
                <w:rFonts w:cs="Arial"/>
                <w:i/>
                <w:iCs/>
                <w:color w:val="2575AE"/>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72995FC" w14:textId="77777777" w:rsidR="00852D5E" w:rsidRDefault="00852D5E" w:rsidP="00852D5E">
            <w:pPr>
              <w:rPr>
                <w:rFonts w:cs="Arial"/>
                <w:i/>
                <w:iCs/>
                <w:color w:val="2575A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16BD89C" w14:textId="77777777" w:rsidR="00852D5E" w:rsidRDefault="00852D5E" w:rsidP="00852D5E">
            <w:pPr>
              <w:rPr>
                <w:rFonts w:cs="Arial"/>
                <w:i/>
                <w:iCs/>
                <w:color w:val="2575AE"/>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Pr>
          <w:p w14:paraId="5161C05F" w14:textId="77777777" w:rsidR="00852D5E" w:rsidRDefault="00852D5E" w:rsidP="00852D5E">
            <w:pPr>
              <w:rPr>
                <w:rFonts w:cs="Arial"/>
                <w:i/>
                <w:iCs/>
                <w:color w:val="2575AE"/>
              </w:rPr>
            </w:pPr>
          </w:p>
        </w:tc>
      </w:tr>
    </w:tbl>
    <w:p w14:paraId="1060CC28" w14:textId="500C8AD5" w:rsidR="00F63A7A" w:rsidRDefault="00F63A7A" w:rsidP="00E34EB8"/>
    <w:p w14:paraId="0C36E3DA" w14:textId="77777777" w:rsidR="00F63A7A" w:rsidRDefault="00F63A7A">
      <w:r>
        <w:br w:type="page"/>
      </w:r>
    </w:p>
    <w:p w14:paraId="2839E4D5" w14:textId="77777777" w:rsidR="00A30C00" w:rsidRDefault="00A30C00" w:rsidP="00E34EB8"/>
    <w:p w14:paraId="12C2910F" w14:textId="41F0FD8A" w:rsidR="00C4692F" w:rsidRDefault="00C4692F" w:rsidP="00E34EB8">
      <w:r>
        <w:t>Uncertainty likelihood</w:t>
      </w:r>
    </w:p>
    <w:tbl>
      <w:tblPr>
        <w:tblStyle w:val="TableGrid"/>
        <w:tblW w:w="0" w:type="auto"/>
        <w:tblLook w:val="04A0" w:firstRow="1" w:lastRow="0" w:firstColumn="1" w:lastColumn="0" w:noHBand="0" w:noVBand="1"/>
      </w:tblPr>
      <w:tblGrid>
        <w:gridCol w:w="3256"/>
        <w:gridCol w:w="4536"/>
        <w:gridCol w:w="4536"/>
      </w:tblGrid>
      <w:tr w:rsidR="00C4692F" w14:paraId="2558DB68" w14:textId="0567468C" w:rsidTr="00092C23">
        <w:tc>
          <w:tcPr>
            <w:tcW w:w="3256" w:type="dxa"/>
          </w:tcPr>
          <w:p w14:paraId="1ABEA758" w14:textId="42387588" w:rsidR="00C4692F" w:rsidRPr="00C4692F" w:rsidRDefault="00C4692F" w:rsidP="00E34EB8">
            <w:pPr>
              <w:rPr>
                <w:b/>
                <w:bCs/>
              </w:rPr>
            </w:pPr>
            <w:r w:rsidRPr="00C4692F">
              <w:rPr>
                <w:b/>
                <w:bCs/>
              </w:rPr>
              <w:t>Likelihood</w:t>
            </w:r>
          </w:p>
        </w:tc>
        <w:tc>
          <w:tcPr>
            <w:tcW w:w="4536" w:type="dxa"/>
          </w:tcPr>
          <w:p w14:paraId="1F268F6C" w14:textId="07AED945" w:rsidR="00C4692F" w:rsidRPr="00C4692F" w:rsidRDefault="00C4692F" w:rsidP="00E34EB8">
            <w:pPr>
              <w:rPr>
                <w:b/>
                <w:bCs/>
              </w:rPr>
            </w:pPr>
            <w:r w:rsidRPr="00C4692F">
              <w:rPr>
                <w:b/>
                <w:bCs/>
              </w:rPr>
              <w:t>Description</w:t>
            </w:r>
          </w:p>
        </w:tc>
        <w:tc>
          <w:tcPr>
            <w:tcW w:w="4536" w:type="dxa"/>
          </w:tcPr>
          <w:p w14:paraId="660A1FDB" w14:textId="10F31C3B" w:rsidR="00C4692F" w:rsidRPr="00C4692F" w:rsidRDefault="00C4692F" w:rsidP="00E34EB8">
            <w:pPr>
              <w:rPr>
                <w:b/>
                <w:bCs/>
              </w:rPr>
            </w:pPr>
            <w:r w:rsidRPr="00C4692F">
              <w:rPr>
                <w:b/>
                <w:bCs/>
              </w:rPr>
              <w:t xml:space="preserve">Example </w:t>
            </w:r>
          </w:p>
        </w:tc>
      </w:tr>
      <w:tr w:rsidR="00C4692F" w14:paraId="1F896791" w14:textId="2D74FAD6" w:rsidTr="00092C23">
        <w:tc>
          <w:tcPr>
            <w:tcW w:w="3256" w:type="dxa"/>
          </w:tcPr>
          <w:p w14:paraId="5CE5EEF5" w14:textId="363683C3" w:rsidR="00C4692F" w:rsidRDefault="00C4692F" w:rsidP="00E34EB8">
            <w:r>
              <w:t>Certain</w:t>
            </w:r>
          </w:p>
        </w:tc>
        <w:tc>
          <w:tcPr>
            <w:tcW w:w="4536" w:type="dxa"/>
          </w:tcPr>
          <w:p w14:paraId="7C0D2676" w14:textId="7F44BF7E" w:rsidR="00C4692F" w:rsidRDefault="00C4692F" w:rsidP="00E34EB8">
            <w:r>
              <w:t>There is a high likelihood the uncertainty will happen</w:t>
            </w:r>
          </w:p>
        </w:tc>
        <w:tc>
          <w:tcPr>
            <w:tcW w:w="4536" w:type="dxa"/>
          </w:tcPr>
          <w:p w14:paraId="7BC7BB41" w14:textId="2C52F59D" w:rsidR="00C4692F" w:rsidRDefault="00C4692F" w:rsidP="00E34EB8">
            <w:r>
              <w:t xml:space="preserve">  </w:t>
            </w:r>
          </w:p>
        </w:tc>
      </w:tr>
      <w:tr w:rsidR="00C4692F" w14:paraId="18DAD2E9" w14:textId="3867B2D0" w:rsidTr="00092C23">
        <w:tc>
          <w:tcPr>
            <w:tcW w:w="3256" w:type="dxa"/>
          </w:tcPr>
          <w:p w14:paraId="7556F253" w14:textId="280D0457" w:rsidR="00C4692F" w:rsidRDefault="00C4692F" w:rsidP="00E34EB8">
            <w:r>
              <w:t>Probable</w:t>
            </w:r>
          </w:p>
        </w:tc>
        <w:tc>
          <w:tcPr>
            <w:tcW w:w="4536" w:type="dxa"/>
          </w:tcPr>
          <w:p w14:paraId="239B5363" w14:textId="3FB4F247" w:rsidR="00C4692F" w:rsidRDefault="00C4692F" w:rsidP="00E34EB8">
            <w:r>
              <w:t>It is more than likely the uncertainty will occur</w:t>
            </w:r>
          </w:p>
        </w:tc>
        <w:tc>
          <w:tcPr>
            <w:tcW w:w="4536" w:type="dxa"/>
          </w:tcPr>
          <w:p w14:paraId="7D439553" w14:textId="7890157D" w:rsidR="00C4692F" w:rsidRDefault="00C4692F" w:rsidP="00E34EB8">
            <w:r>
              <w:t>Planning decision that can impact the investment, where precedent strongly indicates the uncertainty will be realised</w:t>
            </w:r>
          </w:p>
        </w:tc>
      </w:tr>
      <w:tr w:rsidR="00C4692F" w14:paraId="528E1314" w14:textId="24C48119" w:rsidTr="00092C23">
        <w:tc>
          <w:tcPr>
            <w:tcW w:w="3256" w:type="dxa"/>
          </w:tcPr>
          <w:p w14:paraId="1DD9F53C" w14:textId="7A3681AB" w:rsidR="00C4692F" w:rsidRDefault="00C4692F" w:rsidP="00E34EB8">
            <w:r>
              <w:t>Potential</w:t>
            </w:r>
          </w:p>
        </w:tc>
        <w:tc>
          <w:tcPr>
            <w:tcW w:w="4536" w:type="dxa"/>
          </w:tcPr>
          <w:p w14:paraId="4DA1C84D" w14:textId="292DD24E" w:rsidR="00C4692F" w:rsidRDefault="00C4692F" w:rsidP="00E34EB8">
            <w:r>
              <w:t xml:space="preserve">The uncertainty can be reasonably foreseen but </w:t>
            </w:r>
            <w:r w:rsidR="00526102">
              <w:t xml:space="preserve">likelihood of occurrence </w:t>
            </w:r>
            <w:r>
              <w:t xml:space="preserve">is considered less than probable </w:t>
            </w:r>
          </w:p>
        </w:tc>
        <w:tc>
          <w:tcPr>
            <w:tcW w:w="4536" w:type="dxa"/>
          </w:tcPr>
          <w:p w14:paraId="21995DF2" w14:textId="77777777" w:rsidR="00C4692F" w:rsidRDefault="00C4692F" w:rsidP="00E34EB8"/>
        </w:tc>
      </w:tr>
      <w:tr w:rsidR="00C4692F" w14:paraId="28885A55" w14:textId="13B5D9CB" w:rsidTr="00092C23">
        <w:tc>
          <w:tcPr>
            <w:tcW w:w="3256" w:type="dxa"/>
          </w:tcPr>
          <w:p w14:paraId="2F7ECFB1" w14:textId="7D3AB1DD" w:rsidR="00C4692F" w:rsidRDefault="00C4692F" w:rsidP="00E34EB8">
            <w:r>
              <w:t>Remote</w:t>
            </w:r>
          </w:p>
        </w:tc>
        <w:tc>
          <w:tcPr>
            <w:tcW w:w="4536" w:type="dxa"/>
          </w:tcPr>
          <w:p w14:paraId="2EF28295" w14:textId="79A7C8D3" w:rsidR="00C4692F" w:rsidRDefault="00C4692F" w:rsidP="00E34EB8">
            <w:r>
              <w:t xml:space="preserve">The uncertainty is considered unlikely to happen </w:t>
            </w:r>
          </w:p>
        </w:tc>
        <w:tc>
          <w:tcPr>
            <w:tcW w:w="4536" w:type="dxa"/>
          </w:tcPr>
          <w:p w14:paraId="42710229" w14:textId="32231067" w:rsidR="00C4692F" w:rsidRDefault="00C4692F" w:rsidP="00E34EB8">
            <w:r>
              <w:t>System shocks, for example pandemics, global economic crises, climate change impacts</w:t>
            </w:r>
          </w:p>
        </w:tc>
      </w:tr>
    </w:tbl>
    <w:p w14:paraId="553B5C11" w14:textId="05A55391" w:rsidR="00C4692F" w:rsidRDefault="00C4692F" w:rsidP="00E34EB8"/>
    <w:p w14:paraId="328398C0" w14:textId="370DBF1B" w:rsidR="00C4692F" w:rsidRDefault="00C4692F" w:rsidP="00E34EB8">
      <w:r>
        <w:t>Uncertainty impact</w:t>
      </w:r>
    </w:p>
    <w:tbl>
      <w:tblPr>
        <w:tblStyle w:val="TableGrid"/>
        <w:tblW w:w="0" w:type="auto"/>
        <w:tblLook w:val="04A0" w:firstRow="1" w:lastRow="0" w:firstColumn="1" w:lastColumn="0" w:noHBand="0" w:noVBand="1"/>
      </w:tblPr>
      <w:tblGrid>
        <w:gridCol w:w="3256"/>
        <w:gridCol w:w="4536"/>
        <w:gridCol w:w="4536"/>
      </w:tblGrid>
      <w:tr w:rsidR="00C4692F" w14:paraId="6FCDC079" w14:textId="77777777" w:rsidTr="004F096A">
        <w:tc>
          <w:tcPr>
            <w:tcW w:w="3256" w:type="dxa"/>
          </w:tcPr>
          <w:p w14:paraId="4FCD7FBD" w14:textId="023B7ABA" w:rsidR="00C4692F" w:rsidRPr="00C4692F" w:rsidRDefault="00C4692F" w:rsidP="004F096A">
            <w:pPr>
              <w:rPr>
                <w:b/>
                <w:bCs/>
              </w:rPr>
            </w:pPr>
            <w:r>
              <w:rPr>
                <w:b/>
                <w:bCs/>
              </w:rPr>
              <w:t>Impact</w:t>
            </w:r>
          </w:p>
        </w:tc>
        <w:tc>
          <w:tcPr>
            <w:tcW w:w="4536" w:type="dxa"/>
          </w:tcPr>
          <w:p w14:paraId="19AA5D24" w14:textId="77777777" w:rsidR="00C4692F" w:rsidRPr="00C4692F" w:rsidRDefault="00C4692F" w:rsidP="004F096A">
            <w:pPr>
              <w:rPr>
                <w:b/>
                <w:bCs/>
              </w:rPr>
            </w:pPr>
            <w:r w:rsidRPr="00C4692F">
              <w:rPr>
                <w:b/>
                <w:bCs/>
              </w:rPr>
              <w:t>Description</w:t>
            </w:r>
          </w:p>
        </w:tc>
        <w:tc>
          <w:tcPr>
            <w:tcW w:w="4536" w:type="dxa"/>
          </w:tcPr>
          <w:p w14:paraId="37C3DBA3" w14:textId="77777777" w:rsidR="00C4692F" w:rsidRPr="00C4692F" w:rsidRDefault="00C4692F" w:rsidP="004F096A">
            <w:pPr>
              <w:rPr>
                <w:b/>
                <w:bCs/>
              </w:rPr>
            </w:pPr>
            <w:r w:rsidRPr="00C4692F">
              <w:rPr>
                <w:b/>
                <w:bCs/>
              </w:rPr>
              <w:t xml:space="preserve">Example </w:t>
            </w:r>
          </w:p>
        </w:tc>
      </w:tr>
      <w:tr w:rsidR="00C4692F" w14:paraId="38DA3BA4" w14:textId="77777777" w:rsidTr="004F096A">
        <w:tc>
          <w:tcPr>
            <w:tcW w:w="3256" w:type="dxa"/>
          </w:tcPr>
          <w:p w14:paraId="435DCE01" w14:textId="3ADC2C7F" w:rsidR="00C4692F" w:rsidRDefault="00526102" w:rsidP="004F096A">
            <w:r>
              <w:t>Negligible</w:t>
            </w:r>
          </w:p>
        </w:tc>
        <w:tc>
          <w:tcPr>
            <w:tcW w:w="4536" w:type="dxa"/>
          </w:tcPr>
          <w:p w14:paraId="00B4D382" w14:textId="376A4917" w:rsidR="00C4692F" w:rsidRDefault="00526102" w:rsidP="004F096A">
            <w:r>
              <w:t xml:space="preserve">If realised, the uncertainty would not materially affect decisions about the need for investment, nor selection of the best value option. </w:t>
            </w:r>
          </w:p>
        </w:tc>
        <w:tc>
          <w:tcPr>
            <w:tcW w:w="4536" w:type="dxa"/>
          </w:tcPr>
          <w:p w14:paraId="3422DF38" w14:textId="5EC0E764" w:rsidR="00C4692F" w:rsidRDefault="00C4692F" w:rsidP="004F096A"/>
        </w:tc>
      </w:tr>
      <w:tr w:rsidR="00C4692F" w14:paraId="18BE0FF2" w14:textId="77777777" w:rsidTr="004F096A">
        <w:tc>
          <w:tcPr>
            <w:tcW w:w="3256" w:type="dxa"/>
          </w:tcPr>
          <w:p w14:paraId="272ECED2" w14:textId="1D86F997" w:rsidR="00C4692F" w:rsidRDefault="00526102" w:rsidP="004F096A">
            <w:r>
              <w:t>Low</w:t>
            </w:r>
          </w:p>
        </w:tc>
        <w:tc>
          <w:tcPr>
            <w:tcW w:w="4536" w:type="dxa"/>
          </w:tcPr>
          <w:p w14:paraId="49C10DFA" w14:textId="77E6787C" w:rsidR="00C4692F" w:rsidRDefault="00526102" w:rsidP="004F096A">
            <w:r>
              <w:t xml:space="preserve">May have minor impact on view of best value option, but not likely to point to a different option </w:t>
            </w:r>
          </w:p>
        </w:tc>
        <w:tc>
          <w:tcPr>
            <w:tcW w:w="4536" w:type="dxa"/>
          </w:tcPr>
          <w:p w14:paraId="0E4218CC" w14:textId="29BDCCA7" w:rsidR="00C4692F" w:rsidRDefault="00C4692F" w:rsidP="004F096A"/>
        </w:tc>
      </w:tr>
      <w:tr w:rsidR="00C4692F" w14:paraId="2A25CD90" w14:textId="77777777" w:rsidTr="004F096A">
        <w:tc>
          <w:tcPr>
            <w:tcW w:w="3256" w:type="dxa"/>
          </w:tcPr>
          <w:p w14:paraId="4E76757B" w14:textId="07098968" w:rsidR="00C4692F" w:rsidRDefault="00526102" w:rsidP="004F096A">
            <w:r>
              <w:t>Medium</w:t>
            </w:r>
          </w:p>
        </w:tc>
        <w:tc>
          <w:tcPr>
            <w:tcW w:w="4536" w:type="dxa"/>
          </w:tcPr>
          <w:p w14:paraId="3185BCDC" w14:textId="02667FDF" w:rsidR="00C4692F" w:rsidRDefault="00526102" w:rsidP="004F096A">
            <w:r>
              <w:t>Likely to impact the value for money of the recommended option, or reduce the urgency for investment</w:t>
            </w:r>
          </w:p>
        </w:tc>
        <w:tc>
          <w:tcPr>
            <w:tcW w:w="4536" w:type="dxa"/>
          </w:tcPr>
          <w:p w14:paraId="72AB2134" w14:textId="77777777" w:rsidR="00C4692F" w:rsidRDefault="00C4692F" w:rsidP="004F096A"/>
        </w:tc>
      </w:tr>
      <w:tr w:rsidR="00C4692F" w14:paraId="6F8BBC3A" w14:textId="77777777" w:rsidTr="004F096A">
        <w:tc>
          <w:tcPr>
            <w:tcW w:w="3256" w:type="dxa"/>
          </w:tcPr>
          <w:p w14:paraId="074BE8F4" w14:textId="1C2A92EE" w:rsidR="00C4692F" w:rsidRDefault="00526102" w:rsidP="004F096A">
            <w:r>
              <w:t>High</w:t>
            </w:r>
          </w:p>
        </w:tc>
        <w:tc>
          <w:tcPr>
            <w:tcW w:w="4536" w:type="dxa"/>
          </w:tcPr>
          <w:p w14:paraId="063491BD" w14:textId="2E463306" w:rsidR="00C4692F" w:rsidRDefault="00526102" w:rsidP="004F096A">
            <w:r>
              <w:t>May render the recommended option unworkable, or even remove the need for investment completely</w:t>
            </w:r>
          </w:p>
        </w:tc>
        <w:tc>
          <w:tcPr>
            <w:tcW w:w="4536" w:type="dxa"/>
          </w:tcPr>
          <w:p w14:paraId="29C7C2DF" w14:textId="51D31772" w:rsidR="00C4692F" w:rsidRDefault="00C4692F" w:rsidP="004F096A"/>
        </w:tc>
      </w:tr>
    </w:tbl>
    <w:p w14:paraId="256932C5" w14:textId="0F74B4DC" w:rsidR="00C4692F" w:rsidRDefault="00C4692F" w:rsidP="00E34EB8"/>
    <w:p w14:paraId="0B4B153F" w14:textId="5A7AC3A3" w:rsidR="006E071B" w:rsidRDefault="006E071B" w:rsidP="00E34EB8"/>
    <w:p w14:paraId="21C5C4F0" w14:textId="20E7A4DF" w:rsidR="00173CC0" w:rsidRPr="00D542B1" w:rsidRDefault="00173CC0" w:rsidP="00173CC0">
      <w:pPr>
        <w:rPr>
          <w:b/>
          <w:bCs/>
        </w:rPr>
      </w:pPr>
      <w:r w:rsidRPr="00D542B1">
        <w:rPr>
          <w:b/>
          <w:bCs/>
        </w:rPr>
        <w:t xml:space="preserve">Examples of uncertainty </w:t>
      </w:r>
    </w:p>
    <w:p w14:paraId="71ACD301" w14:textId="13415293" w:rsidR="00D542B1" w:rsidRDefault="00D542B1" w:rsidP="00173CC0">
      <w:r>
        <w:t>The following list is provided to prompt thinking about sources of uncertainty; it is not intended to be an exhaustive list.</w:t>
      </w:r>
    </w:p>
    <w:p w14:paraId="3B20F1D8" w14:textId="77777777" w:rsidR="00173CC0" w:rsidRDefault="00173CC0" w:rsidP="00173CC0"/>
    <w:tbl>
      <w:tblPr>
        <w:tblStyle w:val="TableGrid"/>
        <w:tblW w:w="0" w:type="auto"/>
        <w:tblLook w:val="04A0" w:firstRow="1" w:lastRow="0" w:firstColumn="1" w:lastColumn="0" w:noHBand="0" w:noVBand="1"/>
      </w:tblPr>
      <w:tblGrid>
        <w:gridCol w:w="3539"/>
        <w:gridCol w:w="5239"/>
      </w:tblGrid>
      <w:tr w:rsidR="00173CC0" w14:paraId="763498E7" w14:textId="77777777" w:rsidTr="00520A8D">
        <w:tc>
          <w:tcPr>
            <w:tcW w:w="3539" w:type="dxa"/>
          </w:tcPr>
          <w:p w14:paraId="79EAD052" w14:textId="77777777" w:rsidR="00173CC0" w:rsidRPr="00807B39" w:rsidRDefault="00173CC0" w:rsidP="00520A8D">
            <w:pPr>
              <w:rPr>
                <w:b/>
                <w:bCs/>
              </w:rPr>
            </w:pPr>
            <w:r w:rsidRPr="00807B39">
              <w:rPr>
                <w:b/>
                <w:bCs/>
              </w:rPr>
              <w:t>Uncertainty</w:t>
            </w:r>
          </w:p>
        </w:tc>
        <w:tc>
          <w:tcPr>
            <w:tcW w:w="5239" w:type="dxa"/>
          </w:tcPr>
          <w:p w14:paraId="4046C65C" w14:textId="77777777" w:rsidR="00173CC0" w:rsidRPr="00807B39" w:rsidRDefault="00173CC0" w:rsidP="00520A8D">
            <w:pPr>
              <w:rPr>
                <w:b/>
                <w:bCs/>
              </w:rPr>
            </w:pPr>
            <w:r w:rsidRPr="00807B39">
              <w:rPr>
                <w:b/>
                <w:bCs/>
              </w:rPr>
              <w:t>Comments</w:t>
            </w:r>
          </w:p>
        </w:tc>
      </w:tr>
      <w:tr w:rsidR="00173CC0" w14:paraId="65515E97" w14:textId="77777777" w:rsidTr="00520A8D">
        <w:tc>
          <w:tcPr>
            <w:tcW w:w="3539" w:type="dxa"/>
          </w:tcPr>
          <w:p w14:paraId="5ADABBD2" w14:textId="77777777" w:rsidR="00173CC0" w:rsidRDefault="00173CC0" w:rsidP="00520A8D">
            <w:r>
              <w:t>Population growth</w:t>
            </w:r>
          </w:p>
        </w:tc>
        <w:tc>
          <w:tcPr>
            <w:tcW w:w="5239" w:type="dxa"/>
          </w:tcPr>
          <w:p w14:paraId="14644254" w14:textId="77777777" w:rsidR="00173CC0" w:rsidRDefault="00173CC0" w:rsidP="00520A8D">
            <w:r>
              <w:t xml:space="preserve">Forecasts of population growth typically carry significant levels of uncertainty. </w:t>
            </w:r>
          </w:p>
        </w:tc>
      </w:tr>
      <w:tr w:rsidR="00173CC0" w14:paraId="530F378B" w14:textId="77777777" w:rsidTr="00520A8D">
        <w:tc>
          <w:tcPr>
            <w:tcW w:w="3539" w:type="dxa"/>
          </w:tcPr>
          <w:p w14:paraId="7DA6AB08" w14:textId="77777777" w:rsidR="00173CC0" w:rsidRDefault="00173CC0" w:rsidP="00520A8D">
            <w:r>
              <w:t>Demographic changes</w:t>
            </w:r>
          </w:p>
        </w:tc>
        <w:tc>
          <w:tcPr>
            <w:tcW w:w="5239" w:type="dxa"/>
          </w:tcPr>
          <w:p w14:paraId="7DFC4C7C" w14:textId="77777777" w:rsidR="00173CC0" w:rsidRDefault="00173CC0" w:rsidP="00520A8D">
            <w:r>
              <w:t xml:space="preserve">As with population as a whole, forecasts of demographic change over time are typically associated with uncertainty. </w:t>
            </w:r>
          </w:p>
        </w:tc>
      </w:tr>
      <w:tr w:rsidR="00173CC0" w14:paraId="6F03ECC5" w14:textId="77777777" w:rsidTr="00520A8D">
        <w:tc>
          <w:tcPr>
            <w:tcW w:w="3539" w:type="dxa"/>
          </w:tcPr>
          <w:p w14:paraId="09D2AB23" w14:textId="77777777" w:rsidR="00173CC0" w:rsidRDefault="00173CC0" w:rsidP="00520A8D">
            <w:r>
              <w:t>Land use changes</w:t>
            </w:r>
          </w:p>
        </w:tc>
        <w:tc>
          <w:tcPr>
            <w:tcW w:w="5239" w:type="dxa"/>
          </w:tcPr>
          <w:p w14:paraId="71FC16CF" w14:textId="77777777" w:rsidR="00173CC0" w:rsidRDefault="00173CC0" w:rsidP="00520A8D">
            <w:r>
              <w:t xml:space="preserve">Demand can be strongly affected by land use change. This could be new development – whether residential, retail or commercial, or it could be significant change in land use, such as conversion of forestry land to dairy farming. </w:t>
            </w:r>
          </w:p>
        </w:tc>
      </w:tr>
      <w:tr w:rsidR="008E2CB5" w14:paraId="35EF8564" w14:textId="77777777" w:rsidTr="00520A8D">
        <w:tc>
          <w:tcPr>
            <w:tcW w:w="3539" w:type="dxa"/>
          </w:tcPr>
          <w:p w14:paraId="0225B10E" w14:textId="6A64B5BD" w:rsidR="008E2CB5" w:rsidRDefault="008E2CB5" w:rsidP="00520A8D">
            <w:r>
              <w:t>Key interdependencies</w:t>
            </w:r>
          </w:p>
        </w:tc>
        <w:tc>
          <w:tcPr>
            <w:tcW w:w="5239" w:type="dxa"/>
          </w:tcPr>
          <w:p w14:paraId="7B062612" w14:textId="085C2722" w:rsidR="008E2CB5" w:rsidRDefault="008E2CB5" w:rsidP="00520A8D">
            <w:r>
              <w:t>Where an investment is dependent on another, separate investment in order to succeed, this can introduce significant uncertainty. For example, if the related investment either doesn’t happen, or the timing or scope changes. Uncertainty can be particularly high where decision</w:t>
            </w:r>
            <w:r w:rsidR="00C8752B">
              <w:t xml:space="preserve"> </w:t>
            </w:r>
            <w:r>
              <w:t xml:space="preserve">making regarding the related investment rests with another organisation. </w:t>
            </w:r>
          </w:p>
        </w:tc>
      </w:tr>
      <w:tr w:rsidR="00173CC0" w14:paraId="50117123" w14:textId="77777777" w:rsidTr="00520A8D">
        <w:tc>
          <w:tcPr>
            <w:tcW w:w="3539" w:type="dxa"/>
          </w:tcPr>
          <w:p w14:paraId="049F3F3A" w14:textId="77777777" w:rsidR="00173CC0" w:rsidRDefault="00173CC0" w:rsidP="00520A8D">
            <w:r>
              <w:t>Technology</w:t>
            </w:r>
          </w:p>
        </w:tc>
        <w:tc>
          <w:tcPr>
            <w:tcW w:w="5239" w:type="dxa"/>
          </w:tcPr>
          <w:p w14:paraId="6C4938B5" w14:textId="77777777" w:rsidR="00173CC0" w:rsidRDefault="00173CC0" w:rsidP="00520A8D">
            <w:r>
              <w:t xml:space="preserve">New technology can significantly affect demand, often in unexpected ways. For example, the introduction of electric scooters has created a demand for a different </w:t>
            </w:r>
            <w:r>
              <w:lastRenderedPageBreak/>
              <w:t xml:space="preserve">mode of transport in many urban areas. Other forms of technology may reduce demand, for example video calling enabling more home-based working. </w:t>
            </w:r>
          </w:p>
        </w:tc>
      </w:tr>
      <w:tr w:rsidR="00173CC0" w14:paraId="52CC2656" w14:textId="77777777" w:rsidTr="00520A8D">
        <w:tc>
          <w:tcPr>
            <w:tcW w:w="3539" w:type="dxa"/>
          </w:tcPr>
          <w:p w14:paraId="482E2F72" w14:textId="77777777" w:rsidR="00173CC0" w:rsidRDefault="00173CC0" w:rsidP="00520A8D">
            <w:r>
              <w:lastRenderedPageBreak/>
              <w:t>Climate impacts</w:t>
            </w:r>
          </w:p>
        </w:tc>
        <w:tc>
          <w:tcPr>
            <w:tcW w:w="5239" w:type="dxa"/>
          </w:tcPr>
          <w:p w14:paraId="2EDEF930" w14:textId="77777777" w:rsidR="00173CC0" w:rsidRDefault="00173CC0" w:rsidP="00AF1954">
            <w:pPr>
              <w:spacing w:after="120"/>
            </w:pPr>
            <w:r>
              <w:t xml:space="preserve">Climate change can result in longer-term trends or through changing frequency of ‘one-off’ events, such as storms or wildfires. </w:t>
            </w:r>
          </w:p>
          <w:p w14:paraId="3B0A78EF" w14:textId="77777777" w:rsidR="00173CC0" w:rsidRDefault="00173CC0" w:rsidP="00AF1954">
            <w:pPr>
              <w:spacing w:after="120"/>
            </w:pPr>
            <w:r>
              <w:t xml:space="preserve">Longer-term changes in climate can result in changing land use, population etc. For example sea level rise over time may make some coastal communities unviable, or affect transport links. The timing and magnitude of such trends include considerable uncertainty. </w:t>
            </w:r>
          </w:p>
          <w:p w14:paraId="1BCE4224" w14:textId="77777777" w:rsidR="00173CC0" w:rsidRDefault="00173CC0" w:rsidP="00520A8D">
            <w:r>
              <w:t xml:space="preserve">An increase in the frequency of storm events can affect the resilience of transport links, or affect communities across a region. </w:t>
            </w:r>
          </w:p>
        </w:tc>
      </w:tr>
      <w:tr w:rsidR="00173CC0" w14:paraId="3C653DFB" w14:textId="77777777" w:rsidTr="00520A8D">
        <w:tc>
          <w:tcPr>
            <w:tcW w:w="3539" w:type="dxa"/>
          </w:tcPr>
          <w:p w14:paraId="7CE7811D" w14:textId="77777777" w:rsidR="00173CC0" w:rsidRDefault="00173CC0" w:rsidP="00520A8D">
            <w:r>
              <w:t>Natural events (non-climate)</w:t>
            </w:r>
          </w:p>
        </w:tc>
        <w:tc>
          <w:tcPr>
            <w:tcW w:w="5239" w:type="dxa"/>
          </w:tcPr>
          <w:p w14:paraId="58512780" w14:textId="0F267113" w:rsidR="00173CC0" w:rsidRDefault="00173CC0" w:rsidP="00520A8D">
            <w:r>
              <w:t>‘</w:t>
            </w:r>
            <w:r w:rsidR="00C8752B">
              <w:t>O</w:t>
            </w:r>
            <w:r>
              <w:t>ne-off’ events such as earthquakes or volcanic eruption</w:t>
            </w:r>
          </w:p>
        </w:tc>
      </w:tr>
      <w:tr w:rsidR="00173CC0" w14:paraId="4D4CB117" w14:textId="77777777" w:rsidTr="00520A8D">
        <w:tc>
          <w:tcPr>
            <w:tcW w:w="3539" w:type="dxa"/>
          </w:tcPr>
          <w:p w14:paraId="13078FEB" w14:textId="77777777" w:rsidR="00173CC0" w:rsidRDefault="00173CC0" w:rsidP="00520A8D">
            <w:r>
              <w:t>Economic changes</w:t>
            </w:r>
          </w:p>
        </w:tc>
        <w:tc>
          <w:tcPr>
            <w:tcW w:w="5239" w:type="dxa"/>
          </w:tcPr>
          <w:p w14:paraId="2428D3A9" w14:textId="4CB59760" w:rsidR="00173CC0" w:rsidRDefault="00C8752B" w:rsidP="00520A8D">
            <w:r>
              <w:t>For example</w:t>
            </w:r>
            <w:r w:rsidR="00173CC0">
              <w:t xml:space="preserve"> international prices in commodities such as milk or timber; global financial performance (</w:t>
            </w:r>
            <w:r>
              <w:t>like</w:t>
            </w:r>
            <w:r w:rsidR="00173CC0">
              <w:t xml:space="preserve"> the impact of </w:t>
            </w:r>
            <w:r>
              <w:t>the global financial crisis (</w:t>
            </w:r>
            <w:r w:rsidR="00173CC0">
              <w:t>GFC</w:t>
            </w:r>
            <w:r>
              <w:t>)</w:t>
            </w:r>
            <w:r w:rsidR="00173CC0">
              <w:t xml:space="preserve"> in 2008)</w:t>
            </w:r>
          </w:p>
        </w:tc>
      </w:tr>
      <w:tr w:rsidR="00173CC0" w14:paraId="112151AE" w14:textId="77777777" w:rsidTr="00520A8D">
        <w:tc>
          <w:tcPr>
            <w:tcW w:w="3539" w:type="dxa"/>
          </w:tcPr>
          <w:p w14:paraId="1232B020" w14:textId="77777777" w:rsidR="00173CC0" w:rsidRDefault="00173CC0" w:rsidP="00520A8D">
            <w:r>
              <w:t>Other unforeseen events</w:t>
            </w:r>
          </w:p>
        </w:tc>
        <w:tc>
          <w:tcPr>
            <w:tcW w:w="5239" w:type="dxa"/>
          </w:tcPr>
          <w:p w14:paraId="3D9B7D43" w14:textId="79C56252" w:rsidR="00173CC0" w:rsidRDefault="00C8752B" w:rsidP="00520A8D">
            <w:r>
              <w:t>For example</w:t>
            </w:r>
            <w:r w:rsidR="00173CC0">
              <w:t xml:space="preserve">. pandemics – Covid-19 has had impacts on transport demand worldwide, the ongoing implications of which are still not fully understood.  </w:t>
            </w:r>
          </w:p>
        </w:tc>
      </w:tr>
    </w:tbl>
    <w:p w14:paraId="464727A0" w14:textId="77777777" w:rsidR="00173CC0" w:rsidRDefault="00173CC0" w:rsidP="00173CC0"/>
    <w:p w14:paraId="32B0356F" w14:textId="77777777" w:rsidR="006E071B" w:rsidRPr="00E34EB8" w:rsidRDefault="006E071B" w:rsidP="00E34EB8"/>
    <w:sectPr w:rsidR="006E071B" w:rsidRPr="00E34EB8" w:rsidSect="00A30C00">
      <w:pgSz w:w="23811" w:h="16838" w:orient="landscape" w:code="8"/>
      <w:pgMar w:top="992" w:right="1418" w:bottom="2126" w:left="1276"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405C" w14:textId="77777777" w:rsidR="00A30C00" w:rsidRDefault="00A30C00" w:rsidP="002A6A89">
      <w:pPr>
        <w:spacing w:after="0" w:line="240" w:lineRule="auto"/>
      </w:pPr>
      <w:r>
        <w:separator/>
      </w:r>
    </w:p>
  </w:endnote>
  <w:endnote w:type="continuationSeparator" w:id="0">
    <w:p w14:paraId="38C653EF" w14:textId="77777777" w:rsidR="00A30C00" w:rsidRDefault="00A30C00"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yant Regular">
    <w:altName w:val="Corbel"/>
    <w:panose1 w:val="00000000000000000000"/>
    <w:charset w:val="00"/>
    <w:family w:val="swiss"/>
    <w:notTrueType/>
    <w:pitch w:val="variable"/>
    <w:sig w:usb0="A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Condensed Book">
    <w:altName w:val="Calibri"/>
    <w:panose1 w:val="00000000000000000000"/>
    <w:charset w:val="00"/>
    <w:family w:val="modern"/>
    <w:notTrueType/>
    <w:pitch w:val="variable"/>
    <w:sig w:usb0="A00000FF" w:usb1="4000004A" w:usb2="00000000" w:usb3="00000000" w:csb0="0000000B"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2C93" w14:textId="77777777" w:rsidR="00A30C00" w:rsidRDefault="00A30C00" w:rsidP="002A6A89">
      <w:pPr>
        <w:spacing w:after="0" w:line="240" w:lineRule="auto"/>
      </w:pPr>
      <w:r>
        <w:separator/>
      </w:r>
    </w:p>
  </w:footnote>
  <w:footnote w:type="continuationSeparator" w:id="0">
    <w:p w14:paraId="4FF66658" w14:textId="77777777" w:rsidR="00A30C00" w:rsidRDefault="00A30C00" w:rsidP="002A6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C836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007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32E4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CA1B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30F4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8"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362387F"/>
    <w:multiLevelType w:val="hybridMultilevel"/>
    <w:tmpl w:val="2B9C8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1D1A1D01"/>
    <w:multiLevelType w:val="hybridMultilevel"/>
    <w:tmpl w:val="E55C9E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7D30AA2"/>
    <w:multiLevelType w:val="hybridMultilevel"/>
    <w:tmpl w:val="3DAEA6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4" w15:restartNumberingAfterBreak="0">
    <w:nsid w:val="598C2ADB"/>
    <w:multiLevelType w:val="hybridMultilevel"/>
    <w:tmpl w:val="F83E1A7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596097E"/>
    <w:multiLevelType w:val="hybridMultilevel"/>
    <w:tmpl w:val="A3B8345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66D12FFA"/>
    <w:multiLevelType w:val="hybridMultilevel"/>
    <w:tmpl w:val="A0F67DF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0"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262129"/>
    <w:multiLevelType w:val="hybridMultilevel"/>
    <w:tmpl w:val="C4AA26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1702BC4"/>
    <w:multiLevelType w:val="hybridMultilevel"/>
    <w:tmpl w:val="4D3EC6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00715140">
    <w:abstractNumId w:val="27"/>
  </w:num>
  <w:num w:numId="2" w16cid:durableId="57409738">
    <w:abstractNumId w:val="25"/>
  </w:num>
  <w:num w:numId="3" w16cid:durableId="448207647">
    <w:abstractNumId w:val="10"/>
  </w:num>
  <w:num w:numId="4" w16cid:durableId="1446582706">
    <w:abstractNumId w:val="9"/>
  </w:num>
  <w:num w:numId="5" w16cid:durableId="1635984403">
    <w:abstractNumId w:val="7"/>
  </w:num>
  <w:num w:numId="6" w16cid:durableId="1448622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8534216">
    <w:abstractNumId w:val="10"/>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1863470895">
    <w:abstractNumId w:val="18"/>
  </w:num>
  <w:num w:numId="9" w16cid:durableId="667175903">
    <w:abstractNumId w:val="18"/>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413165515">
    <w:abstractNumId w:val="8"/>
  </w:num>
  <w:num w:numId="11" w16cid:durableId="1041630709">
    <w:abstractNumId w:val="3"/>
  </w:num>
  <w:num w:numId="12" w16cid:durableId="2032756873">
    <w:abstractNumId w:val="2"/>
  </w:num>
  <w:num w:numId="13" w16cid:durableId="977806693">
    <w:abstractNumId w:val="30"/>
  </w:num>
  <w:num w:numId="14" w16cid:durableId="1798134476">
    <w:abstractNumId w:val="18"/>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43553290">
    <w:abstractNumId w:val="18"/>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5195913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753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553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9720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61081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5077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79707">
    <w:abstractNumId w:val="26"/>
  </w:num>
  <w:num w:numId="23" w16cid:durableId="983584122">
    <w:abstractNumId w:val="15"/>
  </w:num>
  <w:num w:numId="24" w16cid:durableId="836850571">
    <w:abstractNumId w:val="13"/>
  </w:num>
  <w:num w:numId="25" w16cid:durableId="416826719">
    <w:abstractNumId w:val="22"/>
  </w:num>
  <w:num w:numId="26" w16cid:durableId="578825956">
    <w:abstractNumId w:val="12"/>
  </w:num>
  <w:num w:numId="27" w16cid:durableId="922178317">
    <w:abstractNumId w:val="16"/>
  </w:num>
  <w:num w:numId="28" w16cid:durableId="491871031">
    <w:abstractNumId w:val="20"/>
  </w:num>
  <w:num w:numId="29" w16cid:durableId="2096591745">
    <w:abstractNumId w:val="21"/>
  </w:num>
  <w:num w:numId="30" w16cid:durableId="1913421212">
    <w:abstractNumId w:val="17"/>
  </w:num>
  <w:num w:numId="31" w16cid:durableId="563226675">
    <w:abstractNumId w:val="19"/>
  </w:num>
  <w:num w:numId="32" w16cid:durableId="1257636920">
    <w:abstractNumId w:val="6"/>
  </w:num>
  <w:num w:numId="33" w16cid:durableId="1866868933">
    <w:abstractNumId w:val="5"/>
  </w:num>
  <w:num w:numId="34" w16cid:durableId="965083813">
    <w:abstractNumId w:val="4"/>
  </w:num>
  <w:num w:numId="35" w16cid:durableId="321274942">
    <w:abstractNumId w:val="1"/>
  </w:num>
  <w:num w:numId="36" w16cid:durableId="1240365554">
    <w:abstractNumId w:val="0"/>
  </w:num>
  <w:num w:numId="37" w16cid:durableId="237175515">
    <w:abstractNumId w:val="14"/>
  </w:num>
  <w:num w:numId="38" w16cid:durableId="1791626619">
    <w:abstractNumId w:val="23"/>
  </w:num>
  <w:num w:numId="39" w16cid:durableId="21167104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1480747">
    <w:abstractNumId w:val="24"/>
  </w:num>
  <w:num w:numId="41" w16cid:durableId="1489590237">
    <w:abstractNumId w:val="32"/>
  </w:num>
  <w:num w:numId="42" w16cid:durableId="489639700">
    <w:abstractNumId w:val="31"/>
  </w:num>
  <w:num w:numId="43" w16cid:durableId="1310592327">
    <w:abstractNumId w:val="28"/>
  </w:num>
  <w:num w:numId="44" w16cid:durableId="2093312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00"/>
    <w:rsid w:val="00023C49"/>
    <w:rsid w:val="00032023"/>
    <w:rsid w:val="000369F7"/>
    <w:rsid w:val="00040C2F"/>
    <w:rsid w:val="00057E8D"/>
    <w:rsid w:val="00061681"/>
    <w:rsid w:val="0007104C"/>
    <w:rsid w:val="00071EBA"/>
    <w:rsid w:val="00074D00"/>
    <w:rsid w:val="00075EFB"/>
    <w:rsid w:val="000B3907"/>
    <w:rsid w:val="000C07B0"/>
    <w:rsid w:val="000C0AE0"/>
    <w:rsid w:val="000D11A6"/>
    <w:rsid w:val="000F6BA7"/>
    <w:rsid w:val="001041D9"/>
    <w:rsid w:val="00114219"/>
    <w:rsid w:val="0011760D"/>
    <w:rsid w:val="00143D5E"/>
    <w:rsid w:val="001539FD"/>
    <w:rsid w:val="00157021"/>
    <w:rsid w:val="00160D68"/>
    <w:rsid w:val="00161990"/>
    <w:rsid w:val="00170237"/>
    <w:rsid w:val="00173CC0"/>
    <w:rsid w:val="00175395"/>
    <w:rsid w:val="001D4826"/>
    <w:rsid w:val="001E4B69"/>
    <w:rsid w:val="002033EC"/>
    <w:rsid w:val="0022027D"/>
    <w:rsid w:val="00220D34"/>
    <w:rsid w:val="00250E0A"/>
    <w:rsid w:val="00252190"/>
    <w:rsid w:val="00271364"/>
    <w:rsid w:val="002A6A89"/>
    <w:rsid w:val="002B3B43"/>
    <w:rsid w:val="002D125C"/>
    <w:rsid w:val="002D6577"/>
    <w:rsid w:val="002E2A7B"/>
    <w:rsid w:val="002F7BBD"/>
    <w:rsid w:val="0031391F"/>
    <w:rsid w:val="00314449"/>
    <w:rsid w:val="00337E67"/>
    <w:rsid w:val="00345B39"/>
    <w:rsid w:val="00360B43"/>
    <w:rsid w:val="0037314E"/>
    <w:rsid w:val="003913CE"/>
    <w:rsid w:val="003B47F0"/>
    <w:rsid w:val="003B54C2"/>
    <w:rsid w:val="003C18B1"/>
    <w:rsid w:val="003D301D"/>
    <w:rsid w:val="003D4CFB"/>
    <w:rsid w:val="003D6BE2"/>
    <w:rsid w:val="003E4B07"/>
    <w:rsid w:val="00421A4C"/>
    <w:rsid w:val="004278A7"/>
    <w:rsid w:val="00433C06"/>
    <w:rsid w:val="00441B3A"/>
    <w:rsid w:val="004539A2"/>
    <w:rsid w:val="0048208E"/>
    <w:rsid w:val="00492D4E"/>
    <w:rsid w:val="004A2385"/>
    <w:rsid w:val="004B0B07"/>
    <w:rsid w:val="004B30CA"/>
    <w:rsid w:val="004C22F2"/>
    <w:rsid w:val="00501B1F"/>
    <w:rsid w:val="005146DA"/>
    <w:rsid w:val="00526102"/>
    <w:rsid w:val="0052688D"/>
    <w:rsid w:val="00530969"/>
    <w:rsid w:val="005312E8"/>
    <w:rsid w:val="0053688C"/>
    <w:rsid w:val="00554EAE"/>
    <w:rsid w:val="00555626"/>
    <w:rsid w:val="005560DD"/>
    <w:rsid w:val="00560868"/>
    <w:rsid w:val="005C1265"/>
    <w:rsid w:val="005C1FD1"/>
    <w:rsid w:val="005E12B1"/>
    <w:rsid w:val="005E4382"/>
    <w:rsid w:val="005E6C6B"/>
    <w:rsid w:val="00611D2D"/>
    <w:rsid w:val="00622FD7"/>
    <w:rsid w:val="0063211C"/>
    <w:rsid w:val="0063291E"/>
    <w:rsid w:val="00642EFA"/>
    <w:rsid w:val="006513AD"/>
    <w:rsid w:val="006731F4"/>
    <w:rsid w:val="0068222C"/>
    <w:rsid w:val="00682854"/>
    <w:rsid w:val="006B15D1"/>
    <w:rsid w:val="006E071B"/>
    <w:rsid w:val="006F322A"/>
    <w:rsid w:val="006F6B0A"/>
    <w:rsid w:val="00740520"/>
    <w:rsid w:val="007405EB"/>
    <w:rsid w:val="0075036F"/>
    <w:rsid w:val="00762D08"/>
    <w:rsid w:val="00787356"/>
    <w:rsid w:val="00790DC9"/>
    <w:rsid w:val="00793A49"/>
    <w:rsid w:val="007B12EE"/>
    <w:rsid w:val="007C4A95"/>
    <w:rsid w:val="007C7065"/>
    <w:rsid w:val="007D5786"/>
    <w:rsid w:val="007F7BA5"/>
    <w:rsid w:val="00801544"/>
    <w:rsid w:val="00814509"/>
    <w:rsid w:val="00852D5E"/>
    <w:rsid w:val="0086456D"/>
    <w:rsid w:val="00865866"/>
    <w:rsid w:val="008718A1"/>
    <w:rsid w:val="008901D5"/>
    <w:rsid w:val="00891102"/>
    <w:rsid w:val="008A1FD7"/>
    <w:rsid w:val="008C2C13"/>
    <w:rsid w:val="008C496A"/>
    <w:rsid w:val="008E0E60"/>
    <w:rsid w:val="008E2CB5"/>
    <w:rsid w:val="008E3AF3"/>
    <w:rsid w:val="008E7C8B"/>
    <w:rsid w:val="008F7A30"/>
    <w:rsid w:val="009245CA"/>
    <w:rsid w:val="00937E11"/>
    <w:rsid w:val="00954799"/>
    <w:rsid w:val="009638D6"/>
    <w:rsid w:val="0097314A"/>
    <w:rsid w:val="00975C54"/>
    <w:rsid w:val="0098652C"/>
    <w:rsid w:val="009921D4"/>
    <w:rsid w:val="009A2471"/>
    <w:rsid w:val="009D1292"/>
    <w:rsid w:val="009F455A"/>
    <w:rsid w:val="009F6CB9"/>
    <w:rsid w:val="00A20E45"/>
    <w:rsid w:val="00A23B6D"/>
    <w:rsid w:val="00A30C00"/>
    <w:rsid w:val="00A35CFC"/>
    <w:rsid w:val="00A453DB"/>
    <w:rsid w:val="00A51EB9"/>
    <w:rsid w:val="00A57102"/>
    <w:rsid w:val="00A63EC0"/>
    <w:rsid w:val="00A7304E"/>
    <w:rsid w:val="00A92781"/>
    <w:rsid w:val="00A95F03"/>
    <w:rsid w:val="00AA2086"/>
    <w:rsid w:val="00AB0CBF"/>
    <w:rsid w:val="00AB7D84"/>
    <w:rsid w:val="00AD745A"/>
    <w:rsid w:val="00AF1954"/>
    <w:rsid w:val="00AF7423"/>
    <w:rsid w:val="00B0315A"/>
    <w:rsid w:val="00B12C42"/>
    <w:rsid w:val="00B15F74"/>
    <w:rsid w:val="00B16546"/>
    <w:rsid w:val="00B3506C"/>
    <w:rsid w:val="00B47BF1"/>
    <w:rsid w:val="00B654B9"/>
    <w:rsid w:val="00B7596D"/>
    <w:rsid w:val="00B76535"/>
    <w:rsid w:val="00B76DC6"/>
    <w:rsid w:val="00B8003A"/>
    <w:rsid w:val="00B82A81"/>
    <w:rsid w:val="00B94B62"/>
    <w:rsid w:val="00B9592B"/>
    <w:rsid w:val="00BA5CB9"/>
    <w:rsid w:val="00BA6735"/>
    <w:rsid w:val="00BC7CAB"/>
    <w:rsid w:val="00BD221A"/>
    <w:rsid w:val="00BD2782"/>
    <w:rsid w:val="00BD5036"/>
    <w:rsid w:val="00BE2AC9"/>
    <w:rsid w:val="00BE3F75"/>
    <w:rsid w:val="00BE5F44"/>
    <w:rsid w:val="00C00E47"/>
    <w:rsid w:val="00C071B5"/>
    <w:rsid w:val="00C07C47"/>
    <w:rsid w:val="00C17B90"/>
    <w:rsid w:val="00C23B00"/>
    <w:rsid w:val="00C352C3"/>
    <w:rsid w:val="00C35FFA"/>
    <w:rsid w:val="00C36C01"/>
    <w:rsid w:val="00C4692F"/>
    <w:rsid w:val="00C52C74"/>
    <w:rsid w:val="00C57B16"/>
    <w:rsid w:val="00C70ED0"/>
    <w:rsid w:val="00C85E51"/>
    <w:rsid w:val="00C8752B"/>
    <w:rsid w:val="00CB0A26"/>
    <w:rsid w:val="00CD0BC9"/>
    <w:rsid w:val="00CE0D6F"/>
    <w:rsid w:val="00CF1C79"/>
    <w:rsid w:val="00CF3575"/>
    <w:rsid w:val="00D04A6B"/>
    <w:rsid w:val="00D22A6C"/>
    <w:rsid w:val="00D314CC"/>
    <w:rsid w:val="00D407A5"/>
    <w:rsid w:val="00D542B1"/>
    <w:rsid w:val="00D6650A"/>
    <w:rsid w:val="00D92F9B"/>
    <w:rsid w:val="00DB201A"/>
    <w:rsid w:val="00DB35AA"/>
    <w:rsid w:val="00DB5D70"/>
    <w:rsid w:val="00DC311A"/>
    <w:rsid w:val="00DC7CEC"/>
    <w:rsid w:val="00DE2F3D"/>
    <w:rsid w:val="00DF3D33"/>
    <w:rsid w:val="00E1103D"/>
    <w:rsid w:val="00E31760"/>
    <w:rsid w:val="00E34EB8"/>
    <w:rsid w:val="00E36BD0"/>
    <w:rsid w:val="00E833C9"/>
    <w:rsid w:val="00EA2D63"/>
    <w:rsid w:val="00EE0856"/>
    <w:rsid w:val="00EE10DC"/>
    <w:rsid w:val="00EE468B"/>
    <w:rsid w:val="00EE5963"/>
    <w:rsid w:val="00EE6355"/>
    <w:rsid w:val="00F02999"/>
    <w:rsid w:val="00F04283"/>
    <w:rsid w:val="00F269F2"/>
    <w:rsid w:val="00F278BB"/>
    <w:rsid w:val="00F313FA"/>
    <w:rsid w:val="00F3271F"/>
    <w:rsid w:val="00F4221E"/>
    <w:rsid w:val="00F63A7A"/>
    <w:rsid w:val="00F715D1"/>
    <w:rsid w:val="00F720A0"/>
    <w:rsid w:val="00F74EEC"/>
    <w:rsid w:val="00F814E9"/>
    <w:rsid w:val="00F86D0D"/>
    <w:rsid w:val="00FA0E71"/>
    <w:rsid w:val="00FA5C85"/>
    <w:rsid w:val="00FA6960"/>
    <w:rsid w:val="00FB133E"/>
    <w:rsid w:val="00FC11D9"/>
    <w:rsid w:val="00FD0C87"/>
    <w:rsid w:val="00FD3387"/>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45AFF"/>
  <w15:chartTrackingRefBased/>
  <w15:docId w15:val="{286C96D7-3C19-4C57-AEDD-C98F2D79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C9"/>
    <w:rPr>
      <w:rFonts w:ascii="Arial" w:eastAsia="Times New Roman" w:hAnsi="Arial" w:cs="Times New Roman"/>
      <w:color w:val="404040" w:themeColor="text1" w:themeTint="BF"/>
    </w:rPr>
  </w:style>
  <w:style w:type="paragraph" w:styleId="Heading1">
    <w:name w:val="heading 1"/>
    <w:basedOn w:val="Normal"/>
    <w:next w:val="Normal"/>
    <w:link w:val="Heading1Char"/>
    <w:uiPriority w:val="9"/>
    <w:qFormat/>
    <w:rsid w:val="00790DC9"/>
    <w:pPr>
      <w:keepNext/>
      <w:keepLines/>
      <w:spacing w:before="240"/>
      <w:outlineLvl w:val="0"/>
    </w:pPr>
    <w:rPr>
      <w:b/>
      <w:color w:val="006FB8"/>
      <w:sz w:val="36"/>
      <w:szCs w:val="36"/>
    </w:rPr>
  </w:style>
  <w:style w:type="paragraph" w:styleId="Heading2">
    <w:name w:val="heading 2"/>
    <w:basedOn w:val="Normal"/>
    <w:next w:val="Normal"/>
    <w:link w:val="Heading2Char"/>
    <w:unhideWhenUsed/>
    <w:qFormat/>
    <w:rsid w:val="00790DC9"/>
    <w:pPr>
      <w:keepNext/>
      <w:keepLines/>
      <w:spacing w:before="240"/>
      <w:outlineLvl w:val="1"/>
    </w:pPr>
    <w:rPr>
      <w:b/>
      <w:color w:val="006FB8"/>
      <w:sz w:val="28"/>
      <w:szCs w:val="26"/>
    </w:rPr>
  </w:style>
  <w:style w:type="paragraph" w:styleId="Heading3">
    <w:name w:val="heading 3"/>
    <w:basedOn w:val="Normal"/>
    <w:next w:val="Normal"/>
    <w:link w:val="Heading3Char"/>
    <w:uiPriority w:val="9"/>
    <w:unhideWhenUsed/>
    <w:qFormat/>
    <w:rsid w:val="00790DC9"/>
    <w:pPr>
      <w:keepNext/>
      <w:keepLines/>
      <w:spacing w:before="240"/>
      <w:outlineLvl w:val="2"/>
    </w:pPr>
    <w:rPr>
      <w:rFonts w:cs="Arial"/>
      <w:b/>
      <w:color w:val="000000"/>
    </w:rPr>
  </w:style>
  <w:style w:type="paragraph" w:styleId="Heading4">
    <w:name w:val="heading 4"/>
    <w:basedOn w:val="Normal"/>
    <w:link w:val="Heading4Char"/>
    <w:uiPriority w:val="9"/>
    <w:qFormat/>
    <w:rsid w:val="00790DC9"/>
    <w:pPr>
      <w:keepNext/>
      <w:keepLines/>
      <w:spacing w:before="40" w:after="0"/>
      <w:outlineLvl w:val="3"/>
    </w:pPr>
    <w:rPr>
      <w:rFonts w:asciiTheme="majorHAnsi" w:eastAsiaTheme="majorEastAsia" w:hAnsiTheme="majorHAnsi" w:cstheme="majorBidi"/>
      <w:i/>
      <w:iCs/>
      <w:color w:val="1B5782" w:themeColor="accent1" w:themeShade="BF"/>
    </w:rPr>
  </w:style>
  <w:style w:type="character" w:default="1" w:styleId="DefaultParagraphFont">
    <w:name w:val="Default Paragraph Font"/>
    <w:uiPriority w:val="1"/>
    <w:semiHidden/>
    <w:unhideWhenUsed/>
    <w:rsid w:val="00790D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0DC9"/>
  </w:style>
  <w:style w:type="table" w:customStyle="1" w:styleId="ListTable3-Accent11">
    <w:name w:val="List Table 3 - Accent 11"/>
    <w:basedOn w:val="TableNormal"/>
    <w:next w:val="ListTable3-Accent1"/>
    <w:uiPriority w:val="48"/>
    <w:rsid w:val="00790DC9"/>
    <w:pPr>
      <w:spacing w:after="0" w:line="240" w:lineRule="auto"/>
    </w:pPr>
    <w:rPr>
      <w:rFonts w:ascii="Arial" w:eastAsia="Times New Roman"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rPr>
        <w:tblHeader/>
      </w:tr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790DC9"/>
    <w:pPr>
      <w:spacing w:after="0" w:line="240" w:lineRule="auto"/>
    </w:pPr>
    <w:rPr>
      <w:rFonts w:eastAsia="Times New Roman"/>
    </w:r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790DC9"/>
    <w:pPr>
      <w:numPr>
        <w:numId w:val="2"/>
      </w:numPr>
      <w:spacing w:after="0" w:line="240" w:lineRule="auto"/>
    </w:pPr>
    <w:rPr>
      <w:b/>
      <w:bCs/>
      <w:color w:val="FFFFFF" w:themeColor="background1"/>
      <w:sz w:val="22"/>
      <w:szCs w:val="22"/>
    </w:rPr>
  </w:style>
  <w:style w:type="paragraph" w:styleId="List5">
    <w:name w:val="List 5"/>
    <w:basedOn w:val="Normal"/>
    <w:uiPriority w:val="99"/>
    <w:semiHidden/>
    <w:unhideWhenUsed/>
    <w:rsid w:val="00790DC9"/>
    <w:pPr>
      <w:numPr>
        <w:numId w:val="1"/>
      </w:numPr>
      <w:contextualSpacing/>
    </w:pPr>
  </w:style>
  <w:style w:type="paragraph" w:styleId="Header">
    <w:name w:val="header"/>
    <w:basedOn w:val="Normal"/>
    <w:link w:val="HeaderChar"/>
    <w:uiPriority w:val="99"/>
    <w:unhideWhenUsed/>
    <w:rsid w:val="00790DC9"/>
    <w:pPr>
      <w:tabs>
        <w:tab w:val="center" w:pos="4253"/>
        <w:tab w:val="right" w:pos="8505"/>
      </w:tabs>
    </w:pPr>
  </w:style>
  <w:style w:type="character" w:customStyle="1" w:styleId="HeaderChar">
    <w:name w:val="Header Char"/>
    <w:basedOn w:val="DefaultParagraphFont"/>
    <w:link w:val="Header"/>
    <w:uiPriority w:val="99"/>
    <w:rsid w:val="00790DC9"/>
    <w:rPr>
      <w:rFonts w:ascii="Arial" w:eastAsia="Times New Roman" w:hAnsi="Arial" w:cs="Times New Roman"/>
      <w:color w:val="404040" w:themeColor="text1" w:themeTint="BF"/>
    </w:rPr>
  </w:style>
  <w:style w:type="paragraph" w:styleId="Footer">
    <w:name w:val="footer"/>
    <w:basedOn w:val="Normal"/>
    <w:link w:val="FooterChar"/>
    <w:uiPriority w:val="98"/>
    <w:unhideWhenUsed/>
    <w:rsid w:val="00790DC9"/>
    <w:pPr>
      <w:tabs>
        <w:tab w:val="center" w:pos="4253"/>
        <w:tab w:val="right" w:pos="8505"/>
      </w:tabs>
    </w:pPr>
  </w:style>
  <w:style w:type="character" w:customStyle="1" w:styleId="FooterChar">
    <w:name w:val="Footer Char"/>
    <w:basedOn w:val="DefaultParagraphFont"/>
    <w:link w:val="Footer"/>
    <w:uiPriority w:val="98"/>
    <w:rsid w:val="00790DC9"/>
    <w:rPr>
      <w:rFonts w:ascii="Arial" w:eastAsia="Times New Roman" w:hAnsi="Arial" w:cs="Times New Roman"/>
      <w:color w:val="404040" w:themeColor="text1" w:themeTint="BF"/>
    </w:rPr>
  </w:style>
  <w:style w:type="paragraph" w:styleId="Title">
    <w:name w:val="Title"/>
    <w:basedOn w:val="Normal"/>
    <w:next w:val="Normal"/>
    <w:link w:val="TitleChar"/>
    <w:qFormat/>
    <w:rsid w:val="00790DC9"/>
    <w:pPr>
      <w:spacing w:before="120"/>
      <w:ind w:right="567"/>
      <w:contextualSpacing/>
    </w:pPr>
    <w:rPr>
      <w:rFonts w:cstheme="minorBidi"/>
      <w:b/>
      <w:color w:val="19456B"/>
      <w:kern w:val="28"/>
      <w:sz w:val="44"/>
      <w:szCs w:val="44"/>
    </w:rPr>
  </w:style>
  <w:style w:type="character" w:customStyle="1" w:styleId="TitleChar">
    <w:name w:val="Title Char"/>
    <w:basedOn w:val="DefaultParagraphFont"/>
    <w:link w:val="Title"/>
    <w:rsid w:val="00790DC9"/>
    <w:rPr>
      <w:rFonts w:ascii="Arial" w:eastAsia="Times New Roman" w:hAnsi="Arial"/>
      <w:b/>
      <w:color w:val="19456B"/>
      <w:kern w:val="28"/>
      <w:sz w:val="44"/>
      <w:szCs w:val="44"/>
    </w:rPr>
  </w:style>
  <w:style w:type="paragraph" w:styleId="Subtitle">
    <w:name w:val="Subtitle"/>
    <w:basedOn w:val="Normal"/>
    <w:next w:val="Normal"/>
    <w:link w:val="SubtitleChar"/>
    <w:uiPriority w:val="4"/>
    <w:qFormat/>
    <w:rsid w:val="00790DC9"/>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790DC9"/>
    <w:rPr>
      <w:rFonts w:ascii="Arial" w:eastAsiaTheme="minorEastAsia" w:hAnsi="Arial" w:cs="Times New Roman"/>
      <w:color w:val="2575AE" w:themeColor="accent1"/>
      <w:sz w:val="32"/>
      <w:szCs w:val="32"/>
    </w:rPr>
  </w:style>
  <w:style w:type="paragraph" w:customStyle="1" w:styleId="Details">
    <w:name w:val="Details"/>
    <w:basedOn w:val="Normal"/>
    <w:uiPriority w:val="97"/>
    <w:qFormat/>
    <w:rsid w:val="00790DC9"/>
    <w:rPr>
      <w:rFonts w:eastAsia="Arial" w:cs="Arial"/>
      <w:color w:val="1B5782" w:themeColor="accent1" w:themeShade="BF"/>
    </w:rPr>
  </w:style>
  <w:style w:type="character" w:styleId="Hyperlink">
    <w:name w:val="Hyperlink"/>
    <w:basedOn w:val="DefaultParagraphFont"/>
    <w:uiPriority w:val="99"/>
    <w:unhideWhenUsed/>
    <w:rsid w:val="00790DC9"/>
    <w:rPr>
      <w:color w:val="0563C1" w:themeColor="hyperlink"/>
      <w:u w:val="single"/>
    </w:rPr>
  </w:style>
  <w:style w:type="character" w:customStyle="1" w:styleId="Heading1Char">
    <w:name w:val="Heading 1 Char"/>
    <w:basedOn w:val="DefaultParagraphFont"/>
    <w:link w:val="Heading1"/>
    <w:uiPriority w:val="9"/>
    <w:rsid w:val="00790DC9"/>
    <w:rPr>
      <w:rFonts w:ascii="Arial" w:eastAsia="Times New Roman" w:hAnsi="Arial" w:cs="Times New Roman"/>
      <w:b/>
      <w:color w:val="006FB8"/>
      <w:sz w:val="36"/>
      <w:szCs w:val="36"/>
    </w:rPr>
  </w:style>
  <w:style w:type="paragraph" w:styleId="TOC9">
    <w:name w:val="toc 9"/>
    <w:basedOn w:val="Normal"/>
    <w:next w:val="Normal"/>
    <w:autoRedefine/>
    <w:uiPriority w:val="39"/>
    <w:semiHidden/>
    <w:unhideWhenUsed/>
    <w:rsid w:val="00790DC9"/>
    <w:pPr>
      <w:spacing w:after="100"/>
      <w:ind w:left="1600"/>
    </w:pPr>
  </w:style>
  <w:style w:type="character" w:customStyle="1" w:styleId="Heading2Char">
    <w:name w:val="Heading 2 Char"/>
    <w:basedOn w:val="DefaultParagraphFont"/>
    <w:link w:val="Heading2"/>
    <w:rsid w:val="00790DC9"/>
    <w:rPr>
      <w:rFonts w:ascii="Arial" w:eastAsia="Times New Roman" w:hAnsi="Arial" w:cs="Times New Roman"/>
      <w:b/>
      <w:color w:val="006FB8"/>
      <w:sz w:val="28"/>
      <w:szCs w:val="26"/>
    </w:rPr>
  </w:style>
  <w:style w:type="character" w:customStyle="1" w:styleId="Heading3Char">
    <w:name w:val="Heading 3 Char"/>
    <w:basedOn w:val="DefaultParagraphFont"/>
    <w:link w:val="Heading3"/>
    <w:uiPriority w:val="9"/>
    <w:rsid w:val="00790DC9"/>
    <w:rPr>
      <w:rFonts w:ascii="Arial" w:eastAsia="Times New Roman" w:hAnsi="Arial" w:cs="Arial"/>
      <w:b/>
      <w:color w:val="000000"/>
    </w:rPr>
  </w:style>
  <w:style w:type="paragraph" w:styleId="TOC1">
    <w:name w:val="toc 1"/>
    <w:basedOn w:val="Normal"/>
    <w:next w:val="Normal"/>
    <w:autoRedefine/>
    <w:uiPriority w:val="39"/>
    <w:unhideWhenUsed/>
    <w:rsid w:val="00790DC9"/>
    <w:pPr>
      <w:tabs>
        <w:tab w:val="right" w:leader="dot" w:pos="8778"/>
      </w:tabs>
      <w:spacing w:after="100"/>
    </w:pPr>
    <w:rPr>
      <w:noProof/>
      <w:color w:val="19456B" w:themeColor="background2"/>
    </w:rPr>
  </w:style>
  <w:style w:type="paragraph" w:styleId="TOCHeading">
    <w:name w:val="TOC Heading"/>
    <w:basedOn w:val="Heading1"/>
    <w:next w:val="Normal"/>
    <w:uiPriority w:val="39"/>
    <w:unhideWhenUsed/>
    <w:qFormat/>
    <w:rsid w:val="00790DC9"/>
    <w:pPr>
      <w:outlineLvl w:val="9"/>
    </w:pPr>
    <w:rPr>
      <w:color w:val="19456B" w:themeColor="background2"/>
      <w:sz w:val="20"/>
    </w:rPr>
  </w:style>
  <w:style w:type="paragraph" w:styleId="ListParagraph">
    <w:name w:val="List Paragraph"/>
    <w:aliases w:val="NAST Quote,List Paragraph1,Bullets"/>
    <w:basedOn w:val="Normal"/>
    <w:link w:val="ListParagraphChar"/>
    <w:uiPriority w:val="34"/>
    <w:qFormat/>
    <w:rsid w:val="00790DC9"/>
    <w:pPr>
      <w:ind w:left="720"/>
      <w:contextualSpacing/>
    </w:pPr>
  </w:style>
  <w:style w:type="paragraph" w:styleId="List">
    <w:name w:val="List"/>
    <w:basedOn w:val="Normal"/>
    <w:uiPriority w:val="99"/>
    <w:semiHidden/>
    <w:rsid w:val="00790DC9"/>
    <w:pPr>
      <w:numPr>
        <w:numId w:val="16"/>
      </w:numPr>
    </w:pPr>
  </w:style>
  <w:style w:type="paragraph" w:styleId="List2">
    <w:name w:val="List 2"/>
    <w:basedOn w:val="Normal"/>
    <w:uiPriority w:val="7"/>
    <w:rsid w:val="00790DC9"/>
    <w:pPr>
      <w:numPr>
        <w:ilvl w:val="1"/>
        <w:numId w:val="16"/>
      </w:numPr>
      <w:spacing w:line="240" w:lineRule="atLeast"/>
    </w:pPr>
  </w:style>
  <w:style w:type="paragraph" w:styleId="ListBullet">
    <w:name w:val="List Bullet"/>
    <w:basedOn w:val="Normal"/>
    <w:uiPriority w:val="7"/>
    <w:rsid w:val="00790DC9"/>
    <w:pPr>
      <w:numPr>
        <w:numId w:val="4"/>
      </w:numPr>
      <w:tabs>
        <w:tab w:val="clear" w:pos="360"/>
      </w:tabs>
      <w:ind w:left="284" w:hanging="284"/>
    </w:pPr>
  </w:style>
  <w:style w:type="paragraph" w:styleId="ListBullet2">
    <w:name w:val="List Bullet 2"/>
    <w:basedOn w:val="Normal"/>
    <w:uiPriority w:val="7"/>
    <w:rsid w:val="00790DC9"/>
    <w:pPr>
      <w:numPr>
        <w:numId w:val="5"/>
      </w:numPr>
      <w:ind w:left="567" w:hanging="283"/>
    </w:pPr>
  </w:style>
  <w:style w:type="table" w:styleId="TableGrid">
    <w:name w:val="Table Grid"/>
    <w:basedOn w:val="TableNormal"/>
    <w:uiPriority w:val="39"/>
    <w:rsid w:val="00790D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autoRedefine/>
    <w:uiPriority w:val="3"/>
    <w:qFormat/>
    <w:rsid w:val="00790DC9"/>
    <w:pPr>
      <w:pBdr>
        <w:left w:val="single" w:sz="4" w:space="15" w:color="2575AE" w:themeColor="accent1"/>
      </w:pBdr>
      <w:ind w:left="227" w:right="2268"/>
    </w:pPr>
    <w:rPr>
      <w:rFonts w:eastAsia="Times New Roman"/>
      <w:color w:val="2575AE" w:themeColor="accent1"/>
    </w:rPr>
  </w:style>
  <w:style w:type="paragraph" w:customStyle="1" w:styleId="GreenTextIndent">
    <w:name w:val="Green Text Indent"/>
    <w:autoRedefine/>
    <w:uiPriority w:val="4"/>
    <w:rsid w:val="00790DC9"/>
    <w:pPr>
      <w:pBdr>
        <w:left w:val="single" w:sz="4" w:space="15" w:color="AFBD22" w:themeColor="text2"/>
      </w:pBdr>
      <w:ind w:left="227" w:right="2268"/>
    </w:pPr>
    <w:rPr>
      <w:rFonts w:eastAsia="Times New Roman"/>
      <w:color w:val="AFBD22" w:themeColor="text2"/>
    </w:rPr>
  </w:style>
  <w:style w:type="character" w:styleId="PlaceholderText">
    <w:name w:val="Placeholder Text"/>
    <w:basedOn w:val="DefaultParagraphFont"/>
    <w:uiPriority w:val="99"/>
    <w:semiHidden/>
    <w:rsid w:val="00790DC9"/>
    <w:rPr>
      <w:color w:val="808080"/>
    </w:rPr>
  </w:style>
  <w:style w:type="table" w:customStyle="1" w:styleId="TableGridLight1">
    <w:name w:val="Table Grid Light1"/>
    <w:basedOn w:val="TableNormal"/>
    <w:uiPriority w:val="40"/>
    <w:rsid w:val="00790DC9"/>
    <w:pPr>
      <w:spacing w:after="0" w:line="240" w:lineRule="auto"/>
    </w:pPr>
    <w:rPr>
      <w:rFonts w:eastAsia="Times New Roman"/>
    </w:rPr>
    <w:tblPr>
      <w:tblCellMar>
        <w:left w:w="0" w:type="dxa"/>
        <w:right w:w="0" w:type="dxa"/>
      </w:tblCellMar>
    </w:tblPr>
    <w:tcPr>
      <w:shd w:val="clear" w:color="auto" w:fill="auto"/>
    </w:tcPr>
  </w:style>
  <w:style w:type="paragraph" w:styleId="ListNumber">
    <w:name w:val="List Number"/>
    <w:basedOn w:val="Normal"/>
    <w:uiPriority w:val="99"/>
    <w:semiHidden/>
    <w:rsid w:val="00790DC9"/>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790DC9"/>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790DC9"/>
    <w:pPr>
      <w:numPr>
        <w:ilvl w:val="2"/>
        <w:numId w:val="13"/>
      </w:numPr>
      <w:spacing w:before="240"/>
      <w:contextualSpacing/>
    </w:pPr>
    <w:rPr>
      <w:b/>
    </w:rPr>
  </w:style>
  <w:style w:type="paragraph" w:styleId="TOC2">
    <w:name w:val="toc 2"/>
    <w:basedOn w:val="Normal"/>
    <w:next w:val="Normal"/>
    <w:autoRedefine/>
    <w:uiPriority w:val="39"/>
    <w:unhideWhenUsed/>
    <w:rsid w:val="00790DC9"/>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790DC9"/>
    <w:pPr>
      <w:spacing w:after="100"/>
      <w:ind w:left="400"/>
    </w:pPr>
  </w:style>
  <w:style w:type="paragraph" w:styleId="NoSpacing">
    <w:name w:val="No Spacing"/>
    <w:uiPriority w:val="1"/>
    <w:qFormat/>
    <w:rsid w:val="00790DC9"/>
    <w:pPr>
      <w:spacing w:after="0" w:line="240" w:lineRule="auto"/>
    </w:pPr>
    <w:rPr>
      <w:rFonts w:eastAsia="Times New Roman"/>
    </w:rPr>
  </w:style>
  <w:style w:type="paragraph" w:customStyle="1" w:styleId="InformationPageNormal">
    <w:name w:val="Information Page Normal"/>
    <w:uiPriority w:val="1"/>
    <w:qFormat/>
    <w:rsid w:val="00790DC9"/>
    <w:pPr>
      <w:ind w:right="-1418"/>
    </w:pPr>
    <w:rPr>
      <w:rFonts w:eastAsia="Times New Roman"/>
    </w:rPr>
  </w:style>
  <w:style w:type="paragraph" w:customStyle="1" w:styleId="ListNumbering">
    <w:name w:val="List Numbering"/>
    <w:basedOn w:val="ListBullet"/>
    <w:autoRedefine/>
    <w:uiPriority w:val="6"/>
    <w:qFormat/>
    <w:rsid w:val="00790DC9"/>
    <w:pPr>
      <w:numPr>
        <w:numId w:val="23"/>
      </w:numPr>
    </w:pPr>
  </w:style>
  <w:style w:type="paragraph" w:styleId="BalloonText">
    <w:name w:val="Balloon Text"/>
    <w:basedOn w:val="Normal"/>
    <w:link w:val="BalloonTextChar"/>
    <w:uiPriority w:val="99"/>
    <w:semiHidden/>
    <w:unhideWhenUsed/>
    <w:rsid w:val="0079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DC9"/>
    <w:rPr>
      <w:rFonts w:ascii="Tahoma" w:eastAsia="Times New Roman" w:hAnsi="Tahoma" w:cs="Tahoma"/>
      <w:color w:val="404040" w:themeColor="text1" w:themeTint="BF"/>
      <w:sz w:val="16"/>
      <w:szCs w:val="16"/>
    </w:rPr>
  </w:style>
  <w:style w:type="table" w:customStyle="1" w:styleId="GridTableLight1">
    <w:name w:val="Grid Table Light1"/>
    <w:basedOn w:val="TableNormal"/>
    <w:uiPriority w:val="40"/>
    <w:rsid w:val="00790DC9"/>
    <w:pPr>
      <w:spacing w:after="0" w:line="240" w:lineRule="auto"/>
    </w:pPr>
    <w:rPr>
      <w:rFonts w:eastAsia="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790DC9"/>
    <w:pPr>
      <w:tabs>
        <w:tab w:val="left" w:pos="924"/>
      </w:tabs>
      <w:spacing w:before="60" w:after="60"/>
    </w:pPr>
    <w:rPr>
      <w:rFonts w:ascii="Whitney Condensed Book" w:hAnsi="Whitney Condensed Book"/>
      <w:szCs w:val="24"/>
      <w:lang w:eastAsia="en-GB"/>
    </w:rPr>
  </w:style>
  <w:style w:type="character" w:customStyle="1" w:styleId="manualtabletextCharChar">
    <w:name w:val="manual table text Char Char"/>
    <w:link w:val="manualtabletext"/>
    <w:rsid w:val="00790DC9"/>
    <w:rPr>
      <w:rFonts w:ascii="Whitney Condensed Book" w:eastAsia="Times New Roman" w:hAnsi="Whitney Condensed Book" w:cs="Times New Roman"/>
      <w:color w:val="404040" w:themeColor="text1" w:themeTint="BF"/>
      <w:szCs w:val="24"/>
      <w:lang w:eastAsia="en-GB"/>
    </w:rPr>
  </w:style>
  <w:style w:type="paragraph" w:customStyle="1" w:styleId="Contactinfo">
    <w:name w:val="Contact info"/>
    <w:basedOn w:val="Normal"/>
    <w:semiHidden/>
    <w:locked/>
    <w:rsid w:val="00790DC9"/>
    <w:pPr>
      <w:spacing w:after="0" w:line="300" w:lineRule="exact"/>
      <w:ind w:left="7428"/>
    </w:pPr>
    <w:rPr>
      <w:rFonts w:ascii="Lucida Sans" w:hAnsi="Lucida Sans"/>
      <w:szCs w:val="24"/>
      <w:lang w:val="en-GB" w:eastAsia="en-GB"/>
    </w:rPr>
  </w:style>
  <w:style w:type="paragraph" w:customStyle="1" w:styleId="Date1">
    <w:name w:val="Date1"/>
    <w:basedOn w:val="Normal"/>
    <w:semiHidden/>
    <w:locked/>
    <w:rsid w:val="00790DC9"/>
    <w:pPr>
      <w:spacing w:after="600" w:line="280" w:lineRule="atLeast"/>
    </w:pPr>
    <w:rPr>
      <w:rFonts w:ascii="Lucida Sans" w:hAnsi="Lucida Sans"/>
      <w:sz w:val="18"/>
      <w:szCs w:val="24"/>
      <w:lang w:val="en-GB" w:eastAsia="en-GB"/>
    </w:rPr>
  </w:style>
  <w:style w:type="paragraph" w:styleId="FootnoteText">
    <w:name w:val="footnote text"/>
    <w:basedOn w:val="Normal"/>
    <w:link w:val="FootnoteTextChar"/>
    <w:uiPriority w:val="99"/>
    <w:unhideWhenUsed/>
    <w:rsid w:val="00790DC9"/>
    <w:pPr>
      <w:widowControl w:val="0"/>
      <w:spacing w:after="0" w:line="240" w:lineRule="auto"/>
    </w:pPr>
    <w:rPr>
      <w:rFonts w:asciiTheme="minorHAnsi" w:eastAsiaTheme="minorHAnsi" w:hAnsiTheme="minorHAnsi" w:cstheme="minorBidi"/>
      <w:color w:val="auto"/>
      <w:sz w:val="18"/>
      <w:lang w:val="en-US"/>
    </w:rPr>
  </w:style>
  <w:style w:type="character" w:customStyle="1" w:styleId="FootnoteTextChar">
    <w:name w:val="Footnote Text Char"/>
    <w:basedOn w:val="DefaultParagraphFont"/>
    <w:link w:val="FootnoteText"/>
    <w:uiPriority w:val="99"/>
    <w:rsid w:val="00790DC9"/>
    <w:rPr>
      <w:sz w:val="18"/>
      <w:lang w:val="en-US"/>
    </w:rPr>
  </w:style>
  <w:style w:type="character" w:styleId="FootnoteReference">
    <w:name w:val="footnote reference"/>
    <w:basedOn w:val="DefaultParagraphFont"/>
    <w:uiPriority w:val="99"/>
    <w:semiHidden/>
    <w:unhideWhenUsed/>
    <w:rsid w:val="00790DC9"/>
    <w:rPr>
      <w:vertAlign w:val="superscript"/>
    </w:rPr>
  </w:style>
  <w:style w:type="table" w:styleId="ListTable3-Accent1">
    <w:name w:val="List Table 3 Accent 1"/>
    <w:basedOn w:val="TableNormal"/>
    <w:uiPriority w:val="48"/>
    <w:rsid w:val="00790DC9"/>
    <w:pPr>
      <w:spacing w:after="0" w:line="240" w:lineRule="auto"/>
    </w:pPr>
    <w:rPr>
      <w:rFonts w:eastAsia="Times New Roman"/>
    </w:r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790DC9"/>
    <w:pPr>
      <w:spacing w:after="0" w:line="240" w:lineRule="auto"/>
    </w:pPr>
    <w:rPr>
      <w:rFonts w:eastAsia="Times New Roman"/>
    </w:rPr>
    <w:tblPr>
      <w:tblCellMar>
        <w:left w:w="0" w:type="dxa"/>
        <w:right w:w="0" w:type="dxa"/>
      </w:tblCellMar>
    </w:tblPr>
    <w:tcPr>
      <w:shd w:val="clear" w:color="auto" w:fill="auto"/>
    </w:tcPr>
  </w:style>
  <w:style w:type="table" w:customStyle="1" w:styleId="NZTA">
    <w:name w:val="NZTA"/>
    <w:basedOn w:val="TableNormal"/>
    <w:uiPriority w:val="99"/>
    <w:rsid w:val="00A30C00"/>
    <w:pPr>
      <w:spacing w:before="60" w:after="60" w:line="240" w:lineRule="auto"/>
    </w:pPr>
    <w:rPr>
      <w:rFonts w:ascii="Lucida Sans" w:eastAsia="Arial" w:hAnsi="Lucida Sans" w:cs="Times New Roman"/>
      <w:color w:val="00456A"/>
      <w:szCs w:val="22"/>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9D4ED"/>
      <w:vAlign w:val="center"/>
    </w:tcPr>
    <w:tblStylePr w:type="firstRow">
      <w:pPr>
        <w:wordWrap/>
        <w:spacing w:beforeLines="0" w:before="100" w:beforeAutospacing="1" w:afterLines="0" w:after="100" w:afterAutospacing="1" w:line="240" w:lineRule="auto"/>
      </w:pPr>
      <w:rPr>
        <w:rFonts w:ascii="Lucida Sans" w:hAnsi="Lucida Sans" w:hint="default"/>
        <w:b w:val="0"/>
        <w:caps w:val="0"/>
        <w:smallCaps/>
        <w:strike w:val="0"/>
        <w:dstrike w:val="0"/>
        <w:vanish w:val="0"/>
        <w:webHidden w:val="0"/>
        <w:color w:val="FFFFFF"/>
        <w:sz w:val="20"/>
        <w:szCs w:val="20"/>
        <w:u w:val="none"/>
        <w:effect w:val="none"/>
        <w:specVanish w:val="0"/>
      </w:rPr>
      <w:tblPr/>
      <w:tcPr>
        <w:tcBorders>
          <w:top w:val="single" w:sz="4" w:space="0" w:color="FFFFFF"/>
          <w:left w:val="single" w:sz="4" w:space="0" w:color="FFFFFF"/>
          <w:bottom w:val="single" w:sz="4" w:space="0" w:color="FFFFFF"/>
          <w:right w:val="single" w:sz="4" w:space="0" w:color="FFFFFF"/>
          <w:insideH w:val="nil"/>
          <w:insideV w:val="nil"/>
          <w:tl2br w:val="nil"/>
          <w:tr2bl w:val="nil"/>
        </w:tcBorders>
        <w:shd w:val="clear" w:color="auto" w:fill="00456A"/>
        <w:vAlign w:val="bottom"/>
      </w:tcPr>
    </w:tblStylePr>
  </w:style>
  <w:style w:type="character" w:styleId="CommentReference">
    <w:name w:val="annotation reference"/>
    <w:basedOn w:val="DefaultParagraphFont"/>
    <w:uiPriority w:val="99"/>
    <w:semiHidden/>
    <w:unhideWhenUsed/>
    <w:rsid w:val="00B15F74"/>
    <w:rPr>
      <w:sz w:val="16"/>
      <w:szCs w:val="16"/>
    </w:rPr>
  </w:style>
  <w:style w:type="paragraph" w:styleId="CommentText">
    <w:name w:val="annotation text"/>
    <w:basedOn w:val="Normal"/>
    <w:link w:val="CommentTextChar"/>
    <w:uiPriority w:val="99"/>
    <w:semiHidden/>
    <w:unhideWhenUsed/>
    <w:rsid w:val="00B15F74"/>
    <w:pPr>
      <w:spacing w:line="240" w:lineRule="auto"/>
    </w:pPr>
  </w:style>
  <w:style w:type="character" w:customStyle="1" w:styleId="CommentTextChar">
    <w:name w:val="Comment Text Char"/>
    <w:basedOn w:val="DefaultParagraphFont"/>
    <w:link w:val="CommentText"/>
    <w:uiPriority w:val="99"/>
    <w:semiHidden/>
    <w:rsid w:val="00B15F74"/>
  </w:style>
  <w:style w:type="paragraph" w:styleId="CommentSubject">
    <w:name w:val="annotation subject"/>
    <w:basedOn w:val="CommentText"/>
    <w:next w:val="CommentText"/>
    <w:link w:val="CommentSubjectChar"/>
    <w:uiPriority w:val="99"/>
    <w:semiHidden/>
    <w:unhideWhenUsed/>
    <w:rsid w:val="005E4382"/>
    <w:rPr>
      <w:b/>
      <w:bCs/>
    </w:rPr>
  </w:style>
  <w:style w:type="character" w:customStyle="1" w:styleId="CommentSubjectChar">
    <w:name w:val="Comment Subject Char"/>
    <w:basedOn w:val="CommentTextChar"/>
    <w:link w:val="CommentSubject"/>
    <w:uiPriority w:val="99"/>
    <w:semiHidden/>
    <w:rsid w:val="005E4382"/>
    <w:rPr>
      <w:b/>
      <w:bCs/>
    </w:rPr>
  </w:style>
  <w:style w:type="character" w:customStyle="1" w:styleId="ListParagraphChar">
    <w:name w:val="List Paragraph Char"/>
    <w:aliases w:val="NAST Quote Char,List Paragraph1 Char,Bullets Char"/>
    <w:link w:val="ListParagraph"/>
    <w:uiPriority w:val="34"/>
    <w:locked/>
    <w:rsid w:val="008E2CB5"/>
    <w:rPr>
      <w:rFonts w:ascii="Arial" w:eastAsia="Times New Roman" w:hAnsi="Arial" w:cs="Times New Roman"/>
      <w:color w:val="404040" w:themeColor="text1" w:themeTint="BF"/>
    </w:rPr>
  </w:style>
  <w:style w:type="character" w:customStyle="1" w:styleId="Heading4Char">
    <w:name w:val="Heading 4 Char"/>
    <w:basedOn w:val="DefaultParagraphFont"/>
    <w:link w:val="Heading4"/>
    <w:uiPriority w:val="9"/>
    <w:rsid w:val="00790DC9"/>
    <w:rPr>
      <w:rFonts w:asciiTheme="majorHAnsi" w:eastAsiaTheme="majorEastAsia" w:hAnsiTheme="majorHAnsi" w:cstheme="majorBidi"/>
      <w:i/>
      <w:iCs/>
      <w:color w:val="1B5782" w:themeColor="accent1" w:themeShade="BF"/>
    </w:rPr>
  </w:style>
  <w:style w:type="paragraph" w:customStyle="1" w:styleId="Contentsheading">
    <w:name w:val="Contents heading"/>
    <w:qFormat/>
    <w:rsid w:val="00790DC9"/>
    <w:pPr>
      <w:spacing w:after="160" w:line="259" w:lineRule="auto"/>
    </w:pPr>
    <w:rPr>
      <w:rFonts w:eastAsiaTheme="majorEastAsia" w:cstheme="minorHAnsi"/>
      <w:noProof/>
      <w:color w:val="1B5782" w:themeColor="accent1" w:themeShade="BF"/>
      <w:sz w:val="32"/>
      <w:szCs w:val="32"/>
      <w:lang w:eastAsia="en-NZ"/>
    </w:rPr>
  </w:style>
  <w:style w:type="paragraph" w:styleId="Revision">
    <w:name w:val="Revision"/>
    <w:hidden/>
    <w:uiPriority w:val="99"/>
    <w:semiHidden/>
    <w:rsid w:val="00C07C47"/>
    <w:pPr>
      <w:spacing w:after="0" w:line="240" w:lineRule="auto"/>
    </w:pPr>
    <w:rPr>
      <w:rFonts w:ascii="Arial" w:eastAsia="Times New Roman" w:hAnsi="Arial" w:cs="Times New Roman"/>
      <w:color w:val="404040" w:themeColor="text1" w:themeTint="BF"/>
    </w:rPr>
  </w:style>
  <w:style w:type="character" w:styleId="UnresolvedMention">
    <w:name w:val="Unresolved Mention"/>
    <w:basedOn w:val="DefaultParagraphFont"/>
    <w:uiPriority w:val="99"/>
    <w:semiHidden/>
    <w:unhideWhenUsed/>
    <w:rsid w:val="00C07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elenri\AppData\Roaming\OpenText\OTEdit\EC_infohub\c53106370\Z\44%20-%20Risk%20management%20practice%20gui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zta.govt.nz/planning-and-investment/learning-and-resources/business-case-approach-guidance/the-five-case-model/introduction-to-the-five-case-model/" TargetMode="External"/></Relationships>
</file>

<file path=word/theme/theme1.xml><?xml version="1.0" encoding="utf-8"?>
<a:theme xmlns:a="http://schemas.openxmlformats.org/drawingml/2006/main" name="NZTA Office Theme">
  <a:themeElements>
    <a:clrScheme name="Custom 1">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AAF7-8B63-4480-8AD9-E2D05F16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Myles Andrews</dc:creator>
  <cp:keywords/>
  <dc:description/>
  <cp:lastModifiedBy>Helen Rickerby</cp:lastModifiedBy>
  <cp:revision>4</cp:revision>
  <dcterms:created xsi:type="dcterms:W3CDTF">2023-03-15T00:38:00Z</dcterms:created>
  <dcterms:modified xsi:type="dcterms:W3CDTF">2023-03-15T00:40:00Z</dcterms:modified>
</cp:coreProperties>
</file>